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4C" w:rsidRPr="007D3454" w:rsidRDefault="0067504C" w:rsidP="0067504C">
      <w:pPr>
        <w:pStyle w:val="HesberWriters"/>
        <w:numPr>
          <w:ilvl w:val="0"/>
          <w:numId w:val="7"/>
        </w:numPr>
        <w:spacing w:after="120"/>
        <w:ind w:left="425" w:hanging="425"/>
        <w:jc w:val="both"/>
        <w:rPr>
          <w:u w:val="single"/>
        </w:rPr>
      </w:pPr>
      <w:bookmarkStart w:id="0" w:name="Title"/>
      <w:bookmarkStart w:id="1" w:name="_GoBack"/>
      <w:bookmarkEnd w:id="1"/>
      <w:r w:rsidRPr="007D3454">
        <w:rPr>
          <w:rFonts w:hint="cs"/>
          <w:u w:val="single"/>
          <w:rtl/>
        </w:rPr>
        <w:t>שם החוק המוצע</w:t>
      </w:r>
    </w:p>
    <w:p w:rsidR="0067504C" w:rsidRPr="007D3454" w:rsidRDefault="0067504C" w:rsidP="0067504C">
      <w:pPr>
        <w:pStyle w:val="HesberWriters"/>
        <w:spacing w:after="120"/>
        <w:ind w:left="0"/>
        <w:jc w:val="both"/>
        <w:rPr>
          <w:b w:val="0"/>
          <w:bCs w:val="0"/>
        </w:rPr>
      </w:pPr>
      <w:r w:rsidRPr="007D3454">
        <w:rPr>
          <w:rFonts w:hint="cs"/>
          <w:b w:val="0"/>
          <w:bCs w:val="0"/>
          <w:rtl/>
        </w:rPr>
        <w:t xml:space="preserve">חוק לתיקון </w:t>
      </w:r>
      <w:r>
        <w:rPr>
          <w:rFonts w:hint="cs"/>
          <w:b w:val="0"/>
          <w:bCs w:val="0"/>
          <w:rtl/>
        </w:rPr>
        <w:t>פקודת מס הכנסה (תיקון מס'), התשע"ד-2014.</w:t>
      </w:r>
    </w:p>
    <w:p w:rsidR="0067504C" w:rsidRDefault="0067504C" w:rsidP="0067504C">
      <w:pPr>
        <w:pStyle w:val="HesberWriters"/>
        <w:numPr>
          <w:ilvl w:val="0"/>
          <w:numId w:val="7"/>
        </w:numPr>
        <w:spacing w:after="120"/>
        <w:ind w:left="425" w:hanging="425"/>
        <w:jc w:val="both"/>
        <w:rPr>
          <w:u w:val="single"/>
        </w:rPr>
      </w:pPr>
      <w:r w:rsidRPr="007D3454">
        <w:rPr>
          <w:rFonts w:hint="cs"/>
          <w:u w:val="single"/>
          <w:rtl/>
        </w:rPr>
        <w:t>עיקרי החוק המוצע והצורך בו</w:t>
      </w:r>
    </w:p>
    <w:p w:rsidR="0067504C" w:rsidRDefault="0067504C" w:rsidP="0067504C">
      <w:pPr>
        <w:pStyle w:val="HesberWriters"/>
        <w:spacing w:after="120"/>
        <w:ind w:left="0"/>
        <w:jc w:val="both"/>
        <w:rPr>
          <w:b w:val="0"/>
          <w:bCs w:val="0"/>
          <w:rtl/>
        </w:rPr>
      </w:pPr>
      <w:r>
        <w:rPr>
          <w:rFonts w:hint="cs"/>
          <w:b w:val="0"/>
          <w:bCs w:val="0"/>
          <w:rtl/>
        </w:rPr>
        <w:t>בהתאם להחלטת ממשלה מס' 1490 (חכ/23), מיום 21 במרס 2014, ממשלת ישראל נמצאת בימים אלה בשלבים אחרונים לקראת חתימה על הסכם בין ממשלת ישראל לממשלת ארצות הברית של אמריקה בדבר שיפור ציות מס בינלאומי ויישום פטקא.</w:t>
      </w:r>
    </w:p>
    <w:p w:rsidR="0067504C" w:rsidRDefault="0067504C" w:rsidP="0067504C">
      <w:pPr>
        <w:pStyle w:val="HesberWriters"/>
        <w:spacing w:after="120"/>
        <w:ind w:left="0"/>
        <w:rPr>
          <w:b w:val="0"/>
          <w:bCs w:val="0"/>
          <w:sz w:val="24"/>
          <w:szCs w:val="24"/>
          <w:rtl/>
        </w:rPr>
      </w:pPr>
      <w:r w:rsidRPr="00541872">
        <w:rPr>
          <w:b w:val="0"/>
          <w:bCs w:val="0"/>
          <w:sz w:val="24"/>
          <w:szCs w:val="24"/>
        </w:rPr>
        <w:t>Agreement</w:t>
      </w:r>
      <w:r w:rsidR="00D05CC3">
        <w:rPr>
          <w:b w:val="0"/>
          <w:bCs w:val="0"/>
          <w:sz w:val="24"/>
          <w:szCs w:val="24"/>
        </w:rPr>
        <w:t xml:space="preserve"> </w:t>
      </w:r>
      <w:r w:rsidRPr="00541872">
        <w:rPr>
          <w:b w:val="0"/>
          <w:bCs w:val="0"/>
          <w:sz w:val="24"/>
          <w:szCs w:val="24"/>
        </w:rPr>
        <w:t xml:space="preserve"> between the Government of the </w:t>
      </w:r>
      <w:r>
        <w:rPr>
          <w:b w:val="0"/>
          <w:bCs w:val="0"/>
          <w:sz w:val="24"/>
          <w:szCs w:val="24"/>
        </w:rPr>
        <w:t>U</w:t>
      </w:r>
      <w:r w:rsidRPr="00541872">
        <w:rPr>
          <w:b w:val="0"/>
          <w:bCs w:val="0"/>
          <w:sz w:val="24"/>
          <w:szCs w:val="24"/>
        </w:rPr>
        <w:t xml:space="preserve">nited </w:t>
      </w:r>
      <w:r>
        <w:rPr>
          <w:b w:val="0"/>
          <w:bCs w:val="0"/>
          <w:sz w:val="24"/>
          <w:szCs w:val="24"/>
        </w:rPr>
        <w:t>S</w:t>
      </w:r>
      <w:r w:rsidRPr="00541872">
        <w:rPr>
          <w:b w:val="0"/>
          <w:bCs w:val="0"/>
          <w:sz w:val="24"/>
          <w:szCs w:val="24"/>
        </w:rPr>
        <w:t>tates of America and</w:t>
      </w:r>
      <w:r>
        <w:rPr>
          <w:b w:val="0"/>
          <w:bCs w:val="0"/>
          <w:sz w:val="24"/>
          <w:szCs w:val="24"/>
        </w:rPr>
        <w:t xml:space="preserve"> the</w:t>
      </w:r>
      <w:r w:rsidRPr="00541872">
        <w:rPr>
          <w:b w:val="0"/>
          <w:bCs w:val="0"/>
          <w:sz w:val="24"/>
          <w:szCs w:val="24"/>
        </w:rPr>
        <w:t xml:space="preserve"> Government of Israel</w:t>
      </w:r>
      <w:r>
        <w:rPr>
          <w:b w:val="0"/>
          <w:bCs w:val="0"/>
          <w:sz w:val="24"/>
          <w:szCs w:val="24"/>
        </w:rPr>
        <w:t xml:space="preserve"> to I</w:t>
      </w:r>
      <w:r w:rsidRPr="00541872">
        <w:rPr>
          <w:b w:val="0"/>
          <w:bCs w:val="0"/>
          <w:sz w:val="24"/>
          <w:szCs w:val="24"/>
        </w:rPr>
        <w:t>mprove International Tax Complian</w:t>
      </w:r>
      <w:r>
        <w:rPr>
          <w:b w:val="0"/>
          <w:bCs w:val="0"/>
          <w:sz w:val="24"/>
          <w:szCs w:val="24"/>
        </w:rPr>
        <w:t>c</w:t>
      </w:r>
      <w:r w:rsidRPr="00541872">
        <w:rPr>
          <w:b w:val="0"/>
          <w:bCs w:val="0"/>
          <w:sz w:val="24"/>
          <w:szCs w:val="24"/>
        </w:rPr>
        <w:t>e and Implement F</w:t>
      </w:r>
      <w:r>
        <w:rPr>
          <w:b w:val="0"/>
          <w:bCs w:val="0"/>
          <w:sz w:val="24"/>
          <w:szCs w:val="24"/>
        </w:rPr>
        <w:t>ATCA.</w:t>
      </w:r>
      <w:r w:rsidRPr="00541872">
        <w:rPr>
          <w:b w:val="0"/>
          <w:bCs w:val="0"/>
          <w:sz w:val="24"/>
          <w:szCs w:val="24"/>
        </w:rPr>
        <w:t xml:space="preserve"> </w:t>
      </w:r>
      <w:r w:rsidRPr="00541872">
        <w:rPr>
          <w:rFonts w:hint="cs"/>
          <w:b w:val="0"/>
          <w:bCs w:val="0"/>
          <w:sz w:val="24"/>
          <w:szCs w:val="24"/>
          <w:rtl/>
        </w:rPr>
        <w:t xml:space="preserve"> </w:t>
      </w:r>
    </w:p>
    <w:p w:rsidR="0067504C" w:rsidRPr="00B35E78" w:rsidRDefault="0067504C" w:rsidP="0067504C">
      <w:pPr>
        <w:pStyle w:val="HesberWriters"/>
        <w:spacing w:after="120"/>
        <w:ind w:left="0"/>
        <w:jc w:val="both"/>
        <w:rPr>
          <w:b w:val="0"/>
          <w:bCs w:val="0"/>
          <w:sz w:val="28"/>
          <w:szCs w:val="28"/>
        </w:rPr>
      </w:pPr>
      <w:r w:rsidRPr="00B35E78">
        <w:rPr>
          <w:rFonts w:hint="cs"/>
          <w:b w:val="0"/>
          <w:bCs w:val="0"/>
          <w:sz w:val="28"/>
          <w:szCs w:val="28"/>
          <w:rtl/>
        </w:rPr>
        <w:t xml:space="preserve">(להלן </w:t>
      </w:r>
      <w:r w:rsidRPr="00B35E78">
        <w:rPr>
          <w:b w:val="0"/>
          <w:bCs w:val="0"/>
          <w:sz w:val="28"/>
          <w:szCs w:val="28"/>
          <w:rtl/>
        </w:rPr>
        <w:t>–</w:t>
      </w:r>
      <w:r w:rsidRPr="00B35E78">
        <w:rPr>
          <w:rFonts w:hint="cs"/>
          <w:b w:val="0"/>
          <w:bCs w:val="0"/>
          <w:sz w:val="28"/>
          <w:szCs w:val="28"/>
          <w:rtl/>
        </w:rPr>
        <w:t xml:space="preserve"> הסכם פטקא).</w:t>
      </w:r>
      <w:r w:rsidRPr="00B35E78">
        <w:rPr>
          <w:b w:val="0"/>
          <w:bCs w:val="0"/>
          <w:sz w:val="28"/>
          <w:szCs w:val="28"/>
        </w:rPr>
        <w:t xml:space="preserve"> </w:t>
      </w:r>
    </w:p>
    <w:p w:rsidR="0067504C" w:rsidRDefault="0067504C" w:rsidP="0067504C">
      <w:pPr>
        <w:pStyle w:val="HesberWriters"/>
        <w:spacing w:after="120"/>
        <w:ind w:left="0"/>
        <w:jc w:val="both"/>
        <w:rPr>
          <w:b w:val="0"/>
          <w:bCs w:val="0"/>
          <w:rtl/>
        </w:rPr>
      </w:pPr>
      <w:r>
        <w:rPr>
          <w:rFonts w:hint="cs"/>
          <w:b w:val="0"/>
          <w:bCs w:val="0"/>
          <w:rtl/>
        </w:rPr>
        <w:t>לפי נספח</w:t>
      </w:r>
      <w:r>
        <w:rPr>
          <w:b w:val="0"/>
          <w:bCs w:val="0"/>
        </w:rPr>
        <w:t xml:space="preserve">I </w:t>
      </w:r>
      <w:r>
        <w:rPr>
          <w:rFonts w:hint="cs"/>
          <w:b w:val="0"/>
          <w:bCs w:val="0"/>
          <w:rtl/>
        </w:rPr>
        <w:t xml:space="preserve"> להסכם פטקא יחוייב כל מוסד פיננסי בישראל לברר את זהותו של בעל זכות בחשבון המופקד בידיו, כדי לברר האם הוא אדם אמריקאי כהגדרתו בהסכם פטקא (אדם אמריקאי כולל בין השאר, תושב ארצות הברית או אזרח ארצות הברית וחברה או שותפות שהתאגדו בארצות הברית). לגבי בעל זכות בחשבון שהוא אדם אמריקאי ידרש המוסד הפיננסי, (לאחר שהודיע על כך לאותו אדם ואף נתן לו אפשרות לטעון כי אינו אדם אמריקאי), לדווח על קיום החשבון לרשות המיסים בישראל, כדי שזו תעביר את המידע לשלטונות המס בארצות הברית (</w:t>
      </w:r>
      <w:r>
        <w:rPr>
          <w:b w:val="0"/>
          <w:bCs w:val="0"/>
        </w:rPr>
        <w:t>IRS</w:t>
      </w:r>
      <w:r>
        <w:rPr>
          <w:rFonts w:hint="cs"/>
          <w:b w:val="0"/>
          <w:bCs w:val="0"/>
          <w:rtl/>
        </w:rPr>
        <w:t>), הכל כקבוע בהסכם פטקא.</w:t>
      </w:r>
    </w:p>
    <w:p w:rsidR="0067504C" w:rsidRDefault="0067504C" w:rsidP="0067504C">
      <w:pPr>
        <w:pStyle w:val="HesberWriters"/>
        <w:spacing w:after="120"/>
        <w:ind w:left="0"/>
        <w:jc w:val="both"/>
        <w:rPr>
          <w:b w:val="0"/>
          <w:bCs w:val="0"/>
          <w:rtl/>
        </w:rPr>
      </w:pPr>
      <w:r>
        <w:rPr>
          <w:rFonts w:hint="cs"/>
          <w:b w:val="0"/>
          <w:bCs w:val="0"/>
          <w:rtl/>
        </w:rPr>
        <w:t xml:space="preserve">לגבי מי שיפתח חשבון חדש במוסד פיננסי תחול חובת הבדיקה האמורה </w:t>
      </w:r>
      <w:r w:rsidR="00BB51EB">
        <w:rPr>
          <w:rFonts w:hint="cs"/>
          <w:b w:val="0"/>
          <w:bCs w:val="0"/>
          <w:rtl/>
        </w:rPr>
        <w:t>לפי הסכם פטקא</w:t>
      </w:r>
      <w:r>
        <w:rPr>
          <w:rFonts w:hint="cs"/>
          <w:b w:val="0"/>
          <w:bCs w:val="0"/>
          <w:rtl/>
        </w:rPr>
        <w:t xml:space="preserve"> כבר לגבי פתיחת חשבון ביום ג' באב התשע"ד (1 ביולי 2014).</w:t>
      </w:r>
    </w:p>
    <w:tbl>
      <w:tblPr>
        <w:bidiVisual/>
        <w:tblW w:w="9638" w:type="dxa"/>
        <w:tblLayout w:type="fixed"/>
        <w:tblCellMar>
          <w:top w:w="57" w:type="dxa"/>
          <w:left w:w="0" w:type="dxa"/>
          <w:bottom w:w="57" w:type="dxa"/>
          <w:right w:w="0" w:type="dxa"/>
        </w:tblCellMar>
        <w:tblLook w:val="01E0" w:firstRow="1" w:lastRow="1" w:firstColumn="1" w:lastColumn="1" w:noHBand="0" w:noVBand="0"/>
      </w:tblPr>
      <w:tblGrid>
        <w:gridCol w:w="9638"/>
      </w:tblGrid>
      <w:tr w:rsidR="0067504C" w:rsidTr="005705B7">
        <w:trPr>
          <w:cantSplit/>
        </w:trPr>
        <w:tc>
          <w:tcPr>
            <w:tcW w:w="9638" w:type="dxa"/>
          </w:tcPr>
          <w:p w:rsidR="0067504C" w:rsidRDefault="0067504C" w:rsidP="005705B7">
            <w:pPr>
              <w:pStyle w:val="TableBlock"/>
              <w:rPr>
                <w:rtl/>
              </w:rPr>
            </w:pPr>
            <w:r>
              <w:rPr>
                <w:rFonts w:hint="cs"/>
                <w:rtl/>
              </w:rPr>
              <w:t xml:space="preserve">לענין זה "מוסד פיננסי" </w:t>
            </w:r>
            <w:r>
              <w:rPr>
                <w:rtl/>
              </w:rPr>
              <w:t>–</w:t>
            </w:r>
            <w:r>
              <w:rPr>
                <w:rFonts w:hint="cs"/>
                <w:rtl/>
              </w:rPr>
              <w:t xml:space="preserve"> </w:t>
            </w:r>
            <w:r w:rsidR="00D05CC3">
              <w:rPr>
                <w:rFonts w:hint="cs"/>
                <w:rtl/>
              </w:rPr>
              <w:t>כ</w:t>
            </w:r>
            <w:r>
              <w:rPr>
                <w:rFonts w:hint="cs"/>
                <w:rtl/>
              </w:rPr>
              <w:t>מוסד למשמורת, מוסד לפ</w:t>
            </w:r>
            <w:r w:rsidR="00BB51EB">
              <w:rPr>
                <w:rFonts w:hint="cs"/>
                <w:rtl/>
              </w:rPr>
              <w:t>י</w:t>
            </w:r>
            <w:r>
              <w:rPr>
                <w:rFonts w:hint="cs"/>
                <w:rtl/>
              </w:rPr>
              <w:t>קדונות, יישות העוסקת בהשקעות, חברת ביטוח מסויימת, הכל כפי שמוצע להגדירם בתזכיר חוק זה וכן מי שיקבע על ידי שר האוצר, באישור ועדת הכספים של הכנסת כמוסד פיננסי.</w:t>
            </w:r>
          </w:p>
        </w:tc>
      </w:tr>
    </w:tbl>
    <w:p w:rsidR="0067504C" w:rsidRDefault="0067504C" w:rsidP="0067504C">
      <w:pPr>
        <w:pStyle w:val="HesberWriters"/>
        <w:spacing w:after="120"/>
        <w:ind w:left="0"/>
        <w:jc w:val="both"/>
        <w:rPr>
          <w:b w:val="0"/>
          <w:bCs w:val="0"/>
          <w:rtl/>
        </w:rPr>
      </w:pPr>
      <w:r>
        <w:rPr>
          <w:rFonts w:hint="cs"/>
          <w:b w:val="0"/>
          <w:bCs w:val="0"/>
          <w:rtl/>
        </w:rPr>
        <w:t>השר יקבע בתקנות את אופן העברת המידע לרשות המסים.</w:t>
      </w:r>
    </w:p>
    <w:p w:rsidR="0067504C" w:rsidRDefault="0067504C" w:rsidP="0067504C">
      <w:pPr>
        <w:pStyle w:val="HesberWriters"/>
        <w:spacing w:after="120"/>
        <w:ind w:left="0"/>
        <w:rPr>
          <w:b w:val="0"/>
          <w:bCs w:val="0"/>
          <w:rtl/>
        </w:rPr>
      </w:pPr>
      <w:r>
        <w:rPr>
          <w:b w:val="0"/>
          <w:bCs w:val="0"/>
        </w:rPr>
        <w:tab/>
      </w:r>
    </w:p>
    <w:p w:rsidR="0067504C" w:rsidRDefault="0067504C" w:rsidP="0067504C">
      <w:pPr>
        <w:pStyle w:val="HesberWriters"/>
        <w:spacing w:after="120"/>
        <w:ind w:left="0"/>
        <w:jc w:val="both"/>
        <w:rPr>
          <w:b w:val="0"/>
          <w:bCs w:val="0"/>
        </w:rPr>
      </w:pPr>
      <w:r>
        <w:rPr>
          <w:rFonts w:hint="cs"/>
          <w:b w:val="0"/>
          <w:bCs w:val="0"/>
          <w:rtl/>
        </w:rPr>
        <w:t>כמו כן לאחרונה אישרה הוועדה לענינים פיסקלים (</w:t>
      </w:r>
      <w:r>
        <w:rPr>
          <w:b w:val="0"/>
          <w:bCs w:val="0"/>
        </w:rPr>
        <w:t>CFA</w:t>
      </w:r>
      <w:r>
        <w:rPr>
          <w:rFonts w:hint="cs"/>
          <w:b w:val="0"/>
          <w:bCs w:val="0"/>
          <w:rtl/>
        </w:rPr>
        <w:t>) של ארגון ה-</w:t>
      </w:r>
      <w:r>
        <w:rPr>
          <w:b w:val="0"/>
          <w:bCs w:val="0"/>
        </w:rPr>
        <w:t>OECD</w:t>
      </w:r>
    </w:p>
    <w:p w:rsidR="0067504C" w:rsidRDefault="0067504C" w:rsidP="0067504C">
      <w:pPr>
        <w:pStyle w:val="HesberWriters"/>
        <w:spacing w:after="120"/>
        <w:ind w:left="0"/>
        <w:jc w:val="both"/>
        <w:rPr>
          <w:b w:val="0"/>
          <w:bCs w:val="0"/>
          <w:rtl/>
        </w:rPr>
      </w:pPr>
      <w:r>
        <w:rPr>
          <w:rFonts w:hint="cs"/>
          <w:b w:val="0"/>
          <w:bCs w:val="0"/>
          <w:rtl/>
        </w:rPr>
        <w:t xml:space="preserve"> </w:t>
      </w:r>
      <w:r w:rsidRPr="004A1B64">
        <w:rPr>
          <w:b w:val="0"/>
          <w:bCs w:val="0"/>
          <w:sz w:val="24"/>
          <w:szCs w:val="24"/>
        </w:rPr>
        <w:t xml:space="preserve">Organization for economic </w:t>
      </w:r>
      <w:r>
        <w:rPr>
          <w:b w:val="0"/>
          <w:bCs w:val="0"/>
          <w:sz w:val="24"/>
          <w:szCs w:val="24"/>
        </w:rPr>
        <w:t>C</w:t>
      </w:r>
      <w:r w:rsidRPr="004A1B64">
        <w:rPr>
          <w:b w:val="0"/>
          <w:bCs w:val="0"/>
          <w:sz w:val="24"/>
          <w:szCs w:val="24"/>
        </w:rPr>
        <w:t>o</w:t>
      </w:r>
      <w:r>
        <w:rPr>
          <w:b w:val="0"/>
          <w:bCs w:val="0"/>
          <w:sz w:val="24"/>
          <w:szCs w:val="24"/>
        </w:rPr>
        <w:t>o</w:t>
      </w:r>
      <w:r w:rsidRPr="004A1B64">
        <w:rPr>
          <w:b w:val="0"/>
          <w:bCs w:val="0"/>
          <w:sz w:val="24"/>
          <w:szCs w:val="24"/>
        </w:rPr>
        <w:t>peration and Development</w:t>
      </w:r>
      <w:r>
        <w:rPr>
          <w:b w:val="0"/>
          <w:bCs w:val="0"/>
        </w:rPr>
        <w:t>)</w:t>
      </w:r>
      <w:r>
        <w:rPr>
          <w:rFonts w:hint="cs"/>
          <w:b w:val="0"/>
          <w:bCs w:val="0"/>
          <w:rtl/>
        </w:rPr>
        <w:t xml:space="preserve">(להלן </w:t>
      </w:r>
      <w:r>
        <w:rPr>
          <w:b w:val="0"/>
          <w:bCs w:val="0"/>
          <w:rtl/>
        </w:rPr>
        <w:t>–</w:t>
      </w:r>
      <w:r>
        <w:rPr>
          <w:rFonts w:hint="cs"/>
          <w:b w:val="0"/>
          <w:bCs w:val="0"/>
          <w:rtl/>
        </w:rPr>
        <w:t xml:space="preserve"> ארגון ה-</w:t>
      </w:r>
      <w:r>
        <w:rPr>
          <w:b w:val="0"/>
          <w:bCs w:val="0"/>
        </w:rPr>
        <w:t>OECD</w:t>
      </w:r>
      <w:r>
        <w:rPr>
          <w:rFonts w:hint="cs"/>
          <w:b w:val="0"/>
          <w:bCs w:val="0"/>
          <w:rtl/>
        </w:rPr>
        <w:t>) את נוסח הצהרת השרים של המדינות החברות בארגון לגבי קיום חילופי מידע אוטומטיים.</w:t>
      </w:r>
    </w:p>
    <w:p w:rsidR="0067504C" w:rsidRDefault="0067504C" w:rsidP="00D05CC3">
      <w:pPr>
        <w:pStyle w:val="HesberWriters"/>
        <w:spacing w:after="120"/>
        <w:ind w:left="0"/>
        <w:jc w:val="both"/>
        <w:rPr>
          <w:b w:val="0"/>
          <w:bCs w:val="0"/>
          <w:rtl/>
        </w:rPr>
      </w:pPr>
      <w:r w:rsidRPr="00A161D9">
        <w:rPr>
          <w:b w:val="0"/>
          <w:bCs w:val="0"/>
          <w:sz w:val="24"/>
          <w:szCs w:val="24"/>
        </w:rPr>
        <w:t>Decl</w:t>
      </w:r>
      <w:r>
        <w:rPr>
          <w:b w:val="0"/>
          <w:bCs w:val="0"/>
          <w:sz w:val="24"/>
          <w:szCs w:val="24"/>
        </w:rPr>
        <w:t>a</w:t>
      </w:r>
      <w:r w:rsidR="00D05CC3">
        <w:rPr>
          <w:b w:val="0"/>
          <w:bCs w:val="0"/>
          <w:sz w:val="24"/>
          <w:szCs w:val="24"/>
        </w:rPr>
        <w:t xml:space="preserve">ration </w:t>
      </w:r>
      <w:r w:rsidRPr="00A161D9">
        <w:rPr>
          <w:b w:val="0"/>
          <w:bCs w:val="0"/>
          <w:sz w:val="24"/>
          <w:szCs w:val="24"/>
        </w:rPr>
        <w:t xml:space="preserve">on Automatic </w:t>
      </w:r>
      <w:r>
        <w:rPr>
          <w:b w:val="0"/>
          <w:bCs w:val="0"/>
          <w:sz w:val="24"/>
          <w:szCs w:val="24"/>
        </w:rPr>
        <w:t>E</w:t>
      </w:r>
      <w:r w:rsidRPr="00A161D9">
        <w:rPr>
          <w:b w:val="0"/>
          <w:bCs w:val="0"/>
          <w:sz w:val="24"/>
          <w:szCs w:val="24"/>
        </w:rPr>
        <w:t xml:space="preserve">xchange of </w:t>
      </w:r>
      <w:r>
        <w:rPr>
          <w:b w:val="0"/>
          <w:bCs w:val="0"/>
          <w:sz w:val="24"/>
          <w:szCs w:val="24"/>
        </w:rPr>
        <w:t>I</w:t>
      </w:r>
      <w:r w:rsidRPr="00A161D9">
        <w:rPr>
          <w:b w:val="0"/>
          <w:bCs w:val="0"/>
          <w:sz w:val="24"/>
          <w:szCs w:val="24"/>
        </w:rPr>
        <w:t xml:space="preserve">nformation for </w:t>
      </w:r>
      <w:r>
        <w:rPr>
          <w:b w:val="0"/>
          <w:bCs w:val="0"/>
          <w:sz w:val="24"/>
          <w:szCs w:val="24"/>
        </w:rPr>
        <w:t>OECD</w:t>
      </w:r>
      <w:r w:rsidRPr="00A161D9">
        <w:rPr>
          <w:b w:val="0"/>
          <w:bCs w:val="0"/>
          <w:sz w:val="24"/>
          <w:szCs w:val="24"/>
        </w:rPr>
        <w:t xml:space="preserve"> </w:t>
      </w:r>
      <w:r w:rsidR="00BB51EB">
        <w:rPr>
          <w:b w:val="0"/>
          <w:bCs w:val="0"/>
          <w:sz w:val="24"/>
          <w:szCs w:val="24"/>
        </w:rPr>
        <w:t>M</w:t>
      </w:r>
      <w:r w:rsidRPr="00A161D9">
        <w:rPr>
          <w:b w:val="0"/>
          <w:bCs w:val="0"/>
          <w:sz w:val="24"/>
          <w:szCs w:val="24"/>
        </w:rPr>
        <w:t>in</w:t>
      </w:r>
      <w:r>
        <w:rPr>
          <w:b w:val="0"/>
          <w:bCs w:val="0"/>
          <w:sz w:val="24"/>
          <w:szCs w:val="24"/>
        </w:rPr>
        <w:t>i</w:t>
      </w:r>
      <w:r w:rsidRPr="00A161D9">
        <w:rPr>
          <w:b w:val="0"/>
          <w:bCs w:val="0"/>
          <w:sz w:val="24"/>
          <w:szCs w:val="24"/>
        </w:rPr>
        <w:t>s</w:t>
      </w:r>
      <w:r>
        <w:rPr>
          <w:b w:val="0"/>
          <w:bCs w:val="0"/>
          <w:sz w:val="24"/>
          <w:szCs w:val="24"/>
        </w:rPr>
        <w:t>te</w:t>
      </w:r>
      <w:r w:rsidRPr="00A161D9">
        <w:rPr>
          <w:b w:val="0"/>
          <w:bCs w:val="0"/>
          <w:sz w:val="24"/>
          <w:szCs w:val="24"/>
        </w:rPr>
        <w:t xml:space="preserve">rial </w:t>
      </w:r>
      <w:r>
        <w:rPr>
          <w:b w:val="0"/>
          <w:bCs w:val="0"/>
          <w:sz w:val="24"/>
          <w:szCs w:val="24"/>
        </w:rPr>
        <w:t>M</w:t>
      </w:r>
      <w:r w:rsidRPr="00A161D9">
        <w:rPr>
          <w:b w:val="0"/>
          <w:bCs w:val="0"/>
          <w:sz w:val="24"/>
          <w:szCs w:val="24"/>
        </w:rPr>
        <w:t xml:space="preserve">eeting </w:t>
      </w:r>
      <w:r w:rsidR="00D05CC3">
        <w:rPr>
          <w:rFonts w:hint="cs"/>
          <w:b w:val="0"/>
          <w:bCs w:val="0"/>
          <w:sz w:val="24"/>
          <w:szCs w:val="24"/>
          <w:rtl/>
        </w:rPr>
        <w:t xml:space="preserve"> </w:t>
      </w:r>
      <w:r>
        <w:rPr>
          <w:rFonts w:hint="cs"/>
          <w:b w:val="0"/>
          <w:bCs w:val="0"/>
          <w:sz w:val="24"/>
          <w:szCs w:val="24"/>
          <w:rtl/>
        </w:rPr>
        <w:t>(להלן - הצהרת השרים)</w:t>
      </w:r>
      <w:r>
        <w:rPr>
          <w:rFonts w:hint="cs"/>
          <w:b w:val="0"/>
          <w:bCs w:val="0"/>
          <w:rtl/>
        </w:rPr>
        <w:t>, לפיה המדינות החברות בארגון ה-</w:t>
      </w:r>
      <w:r w:rsidRPr="004C66B4">
        <w:rPr>
          <w:b w:val="0"/>
          <w:bCs w:val="0"/>
          <w:sz w:val="24"/>
          <w:szCs w:val="24"/>
        </w:rPr>
        <w:t xml:space="preserve"> </w:t>
      </w:r>
      <w:r>
        <w:rPr>
          <w:b w:val="0"/>
          <w:bCs w:val="0"/>
          <w:sz w:val="24"/>
          <w:szCs w:val="24"/>
        </w:rPr>
        <w:t>OECD</w:t>
      </w:r>
      <w:r>
        <w:rPr>
          <w:b w:val="0"/>
          <w:bCs w:val="0"/>
        </w:rPr>
        <w:t xml:space="preserve"> </w:t>
      </w:r>
      <w:r>
        <w:rPr>
          <w:rFonts w:hint="cs"/>
          <w:b w:val="0"/>
          <w:bCs w:val="0"/>
          <w:rtl/>
        </w:rPr>
        <w:t>יקבלו על עצמן ליישם באופן אחיד חילופי מידע אוטומטיים לצורך יישום אמנה מולטילטרלית לחילופי מידע.</w:t>
      </w:r>
    </w:p>
    <w:p w:rsidR="0067504C" w:rsidRDefault="0067504C" w:rsidP="00BB51EB">
      <w:pPr>
        <w:pStyle w:val="HesberWriters"/>
        <w:spacing w:after="120"/>
        <w:ind w:left="0"/>
        <w:jc w:val="both"/>
        <w:rPr>
          <w:b w:val="0"/>
          <w:bCs w:val="0"/>
          <w:rtl/>
        </w:rPr>
      </w:pPr>
      <w:r w:rsidRPr="00FC39EC">
        <w:rPr>
          <w:b w:val="0"/>
          <w:bCs w:val="0"/>
          <w:sz w:val="24"/>
          <w:szCs w:val="24"/>
        </w:rPr>
        <w:t>Multilat</w:t>
      </w:r>
      <w:r>
        <w:rPr>
          <w:b w:val="0"/>
          <w:bCs w:val="0"/>
          <w:sz w:val="24"/>
          <w:szCs w:val="24"/>
        </w:rPr>
        <w:t>e</w:t>
      </w:r>
      <w:r w:rsidRPr="00FC39EC">
        <w:rPr>
          <w:b w:val="0"/>
          <w:bCs w:val="0"/>
          <w:sz w:val="24"/>
          <w:szCs w:val="24"/>
        </w:rPr>
        <w:t>ral Convention on Mutual Administrative Assistance in Tax</w:t>
      </w:r>
      <w:r w:rsidR="00BB51EB">
        <w:rPr>
          <w:b w:val="0"/>
          <w:bCs w:val="0"/>
          <w:sz w:val="24"/>
          <w:szCs w:val="24"/>
        </w:rPr>
        <w:t xml:space="preserve"> </w:t>
      </w:r>
      <w:r w:rsidRPr="00FC39EC">
        <w:rPr>
          <w:b w:val="0"/>
          <w:bCs w:val="0"/>
          <w:sz w:val="24"/>
          <w:szCs w:val="24"/>
        </w:rPr>
        <w:t>M</w:t>
      </w:r>
      <w:r>
        <w:rPr>
          <w:b w:val="0"/>
          <w:bCs w:val="0"/>
          <w:sz w:val="24"/>
          <w:szCs w:val="24"/>
        </w:rPr>
        <w:t>a</w:t>
      </w:r>
      <w:r w:rsidRPr="00FC39EC">
        <w:rPr>
          <w:b w:val="0"/>
          <w:bCs w:val="0"/>
          <w:sz w:val="24"/>
          <w:szCs w:val="24"/>
        </w:rPr>
        <w:t>tters</w:t>
      </w:r>
      <w:r>
        <w:rPr>
          <w:b w:val="0"/>
          <w:bCs w:val="0"/>
        </w:rPr>
        <w:t xml:space="preserve"> </w:t>
      </w:r>
      <w:r>
        <w:rPr>
          <w:rFonts w:hint="cs"/>
          <w:b w:val="0"/>
          <w:bCs w:val="0"/>
          <w:rtl/>
        </w:rPr>
        <w:t xml:space="preserve"> (להלן </w:t>
      </w:r>
      <w:r>
        <w:rPr>
          <w:b w:val="0"/>
          <w:bCs w:val="0"/>
          <w:rtl/>
        </w:rPr>
        <w:t>–</w:t>
      </w:r>
      <w:r>
        <w:rPr>
          <w:rFonts w:hint="cs"/>
          <w:b w:val="0"/>
          <w:bCs w:val="0"/>
          <w:rtl/>
        </w:rPr>
        <w:t xml:space="preserve"> האמנה המולטילטרלית לחילופי מידע). כל המדינות החברות בארגון ה-</w:t>
      </w:r>
      <w:r w:rsidRPr="0090718C">
        <w:rPr>
          <w:b w:val="0"/>
          <w:bCs w:val="0"/>
        </w:rPr>
        <w:t xml:space="preserve"> </w:t>
      </w:r>
      <w:r>
        <w:rPr>
          <w:b w:val="0"/>
          <w:bCs w:val="0"/>
        </w:rPr>
        <w:t>,OECD</w:t>
      </w:r>
      <w:r>
        <w:rPr>
          <w:rFonts w:hint="cs"/>
          <w:b w:val="0"/>
          <w:bCs w:val="0"/>
          <w:rtl/>
        </w:rPr>
        <w:t>למעט ישראל, כבר חתמו על האמנה האמורה. ישראל עתידה לחתום על האמנה בקרוב, לאחר השלמת הליכי החקיקה שיאפשרו את כניסתה לתוקף בישראל.</w:t>
      </w:r>
    </w:p>
    <w:p w:rsidR="0067504C" w:rsidRDefault="0067504C" w:rsidP="0067504C">
      <w:pPr>
        <w:pStyle w:val="HesberWriters"/>
        <w:spacing w:after="120"/>
        <w:ind w:left="0"/>
        <w:jc w:val="both"/>
        <w:rPr>
          <w:b w:val="0"/>
          <w:bCs w:val="0"/>
          <w:rtl/>
        </w:rPr>
      </w:pPr>
    </w:p>
    <w:p w:rsidR="0067504C" w:rsidRDefault="0067504C" w:rsidP="00BB51EB">
      <w:pPr>
        <w:pStyle w:val="HesberWriters"/>
        <w:spacing w:after="120"/>
        <w:ind w:left="0"/>
        <w:jc w:val="both"/>
        <w:rPr>
          <w:b w:val="0"/>
          <w:bCs w:val="0"/>
          <w:rtl/>
        </w:rPr>
      </w:pPr>
      <w:r>
        <w:rPr>
          <w:rFonts w:hint="cs"/>
          <w:b w:val="0"/>
          <w:bCs w:val="0"/>
          <w:rtl/>
        </w:rPr>
        <w:t>לפי הצהרת השרים, על המדינות לפעול במהירות כדי ליישם את חילופי המידע האוטומטיים, בהתאם לסטנדרט לחילופי מידע שיקבע ארגון ה-</w:t>
      </w:r>
      <w:r>
        <w:rPr>
          <w:b w:val="0"/>
          <w:bCs w:val="0"/>
        </w:rPr>
        <w:t>OECD</w:t>
      </w:r>
      <w:r>
        <w:rPr>
          <w:rFonts w:hint="cs"/>
          <w:b w:val="0"/>
          <w:bCs w:val="0"/>
          <w:rtl/>
        </w:rPr>
        <w:t>. לפיכך, יש לחייב את המוסדות הפיננסים לברר את הפרטים של בעלי הזכו</w:t>
      </w:r>
      <w:r w:rsidR="00BB51EB">
        <w:rPr>
          <w:rFonts w:hint="cs"/>
          <w:b w:val="0"/>
          <w:bCs w:val="0"/>
          <w:rtl/>
        </w:rPr>
        <w:t>יו</w:t>
      </w:r>
      <w:r>
        <w:rPr>
          <w:rFonts w:hint="cs"/>
          <w:b w:val="0"/>
          <w:bCs w:val="0"/>
          <w:rtl/>
        </w:rPr>
        <w:t>ת בחשבונות המופקדים אצלם, ולגבי אמריקאים את היותם אדם אמריקאי לפי הסכם פטקא. לכן מוצע לאפשר לשר האוצר לקבוע בתקנות חובת זיהוי פרטים של בעל זכות בחשבון במוסד פיננסי. בתקנות יקבע גם אופן העברת המידע מה</w:t>
      </w:r>
      <w:r w:rsidR="00BB51EB">
        <w:rPr>
          <w:rFonts w:hint="cs"/>
          <w:b w:val="0"/>
          <w:bCs w:val="0"/>
          <w:rtl/>
        </w:rPr>
        <w:t xml:space="preserve">מוסדות </w:t>
      </w:r>
      <w:r>
        <w:rPr>
          <w:rFonts w:hint="cs"/>
          <w:b w:val="0"/>
          <w:bCs w:val="0"/>
          <w:rtl/>
        </w:rPr>
        <w:t xml:space="preserve"> הפיננסיים לרשות המסים. </w:t>
      </w:r>
    </w:p>
    <w:p w:rsidR="0067504C" w:rsidRDefault="0067504C" w:rsidP="0067504C">
      <w:pPr>
        <w:pStyle w:val="HesberWriters"/>
        <w:spacing w:after="120"/>
        <w:ind w:left="0"/>
        <w:jc w:val="both"/>
        <w:rPr>
          <w:b w:val="0"/>
          <w:bCs w:val="0"/>
          <w:rtl/>
        </w:rPr>
      </w:pPr>
      <w:r>
        <w:rPr>
          <w:rFonts w:hint="cs"/>
          <w:b w:val="0"/>
          <w:bCs w:val="0"/>
          <w:rtl/>
        </w:rPr>
        <w:t>זהות בעלי החשבונות נבדקת כבר היום, לצורך חוק איסור הלבנת הון, התש"ס-2000</w:t>
      </w:r>
      <w:r>
        <w:rPr>
          <w:b w:val="0"/>
          <w:bCs w:val="0"/>
        </w:rPr>
        <w:t>,</w:t>
      </w:r>
      <w:r>
        <w:rPr>
          <w:rFonts w:hint="cs"/>
          <w:b w:val="0"/>
          <w:bCs w:val="0"/>
          <w:rtl/>
        </w:rPr>
        <w:t xml:space="preserve"> אך לפי החוק האמור אין סמכות להשתמש במידע שנתקבל אלא לצרכי יישום החוק האמור. לפיכך מוצע להסמיך את שר האוצר להתקין תקנות שיאפשרו את זיהוי הבעלים של החשבונות המופקדים במוסדות פיננסים, בנוסף לזיהוי שנעשה לפי חוק איסור הלבנת הון</w:t>
      </w:r>
      <w:r>
        <w:rPr>
          <w:b w:val="0"/>
          <w:bCs w:val="0"/>
        </w:rPr>
        <w:t>,</w:t>
      </w:r>
      <w:r>
        <w:rPr>
          <w:rFonts w:hint="cs"/>
          <w:b w:val="0"/>
          <w:bCs w:val="0"/>
          <w:rtl/>
        </w:rPr>
        <w:t xml:space="preserve"> כדי שישראל תוכל לעמוד בהתחייבויותיה לפי הסכמים בינלאומיים שהיא עתידה לחתום עליהם.</w:t>
      </w:r>
    </w:p>
    <w:p w:rsidR="0067504C" w:rsidRDefault="0067504C" w:rsidP="0067504C">
      <w:pPr>
        <w:pStyle w:val="HesberWriters"/>
        <w:spacing w:after="120"/>
        <w:ind w:left="0"/>
        <w:jc w:val="both"/>
        <w:rPr>
          <w:b w:val="0"/>
          <w:bCs w:val="0"/>
          <w:rtl/>
        </w:rPr>
      </w:pPr>
    </w:p>
    <w:p w:rsidR="0067504C" w:rsidRDefault="0067504C" w:rsidP="0067504C">
      <w:pPr>
        <w:pStyle w:val="HesberWriters"/>
        <w:numPr>
          <w:ilvl w:val="0"/>
          <w:numId w:val="7"/>
        </w:numPr>
        <w:spacing w:after="120"/>
        <w:ind w:left="283" w:hanging="283"/>
        <w:jc w:val="both"/>
        <w:rPr>
          <w:b w:val="0"/>
          <w:bCs w:val="0"/>
        </w:rPr>
      </w:pPr>
      <w:r>
        <w:rPr>
          <w:rFonts w:hint="cs"/>
          <w:u w:val="single"/>
          <w:rtl/>
        </w:rPr>
        <w:t>השפעת החוק המוצע על החוק הקיים</w:t>
      </w:r>
    </w:p>
    <w:p w:rsidR="0067504C" w:rsidRDefault="00BB51EB" w:rsidP="0067504C">
      <w:pPr>
        <w:pStyle w:val="HesberWriters"/>
        <w:spacing w:after="120"/>
        <w:ind w:left="0"/>
        <w:jc w:val="both"/>
        <w:rPr>
          <w:b w:val="0"/>
          <w:bCs w:val="0"/>
          <w:rtl/>
        </w:rPr>
      </w:pPr>
      <w:r>
        <w:rPr>
          <w:rFonts w:hint="cs"/>
          <w:b w:val="0"/>
          <w:bCs w:val="0"/>
          <w:rtl/>
        </w:rPr>
        <w:t>יוו</w:t>
      </w:r>
      <w:r w:rsidR="0067504C">
        <w:rPr>
          <w:rFonts w:hint="cs"/>
          <w:b w:val="0"/>
          <w:bCs w:val="0"/>
          <w:rtl/>
        </w:rPr>
        <w:t>סף סעיף 135ב לפקודת מס הכנסה.</w:t>
      </w:r>
    </w:p>
    <w:p w:rsidR="0067504C" w:rsidRPr="008813AD" w:rsidRDefault="0067504C" w:rsidP="0067504C">
      <w:pPr>
        <w:pStyle w:val="HesberWriters"/>
        <w:spacing w:after="120"/>
        <w:ind w:left="0"/>
        <w:jc w:val="both"/>
        <w:rPr>
          <w:b w:val="0"/>
          <w:bCs w:val="0"/>
        </w:rPr>
      </w:pPr>
    </w:p>
    <w:p w:rsidR="0067504C" w:rsidRDefault="0067504C" w:rsidP="0067504C">
      <w:pPr>
        <w:pStyle w:val="HesberWriters"/>
        <w:numPr>
          <w:ilvl w:val="0"/>
          <w:numId w:val="7"/>
        </w:numPr>
        <w:spacing w:after="120"/>
        <w:ind w:left="283" w:hanging="283"/>
        <w:jc w:val="both"/>
        <w:rPr>
          <w:b w:val="0"/>
          <w:bCs w:val="0"/>
        </w:rPr>
      </w:pPr>
      <w:r>
        <w:rPr>
          <w:rFonts w:hint="cs"/>
          <w:u w:val="single"/>
          <w:rtl/>
        </w:rPr>
        <w:t>השפעת החוק המוצע על תקציב המדינה</w:t>
      </w:r>
    </w:p>
    <w:p w:rsidR="0067504C" w:rsidRDefault="0067504C" w:rsidP="0067504C">
      <w:pPr>
        <w:pStyle w:val="HesberWriters"/>
        <w:spacing w:after="120"/>
        <w:ind w:left="0"/>
        <w:jc w:val="both"/>
        <w:rPr>
          <w:b w:val="0"/>
          <w:bCs w:val="0"/>
          <w:rtl/>
        </w:rPr>
      </w:pPr>
      <w:r>
        <w:rPr>
          <w:rFonts w:hint="cs"/>
          <w:b w:val="0"/>
          <w:bCs w:val="0"/>
          <w:rtl/>
        </w:rPr>
        <w:t xml:space="preserve">בטווח הארוך צפוי גידול בהכנסות המדינה, שקשה לאמוד אותו, בשל קבלת מידע על הכנסות של תושבי ישראל מחו"ל. </w:t>
      </w:r>
    </w:p>
    <w:p w:rsidR="0067504C" w:rsidRDefault="0067504C" w:rsidP="00BB51EB">
      <w:pPr>
        <w:pStyle w:val="HesberWriters"/>
        <w:spacing w:after="120"/>
        <w:ind w:left="0"/>
        <w:jc w:val="both"/>
        <w:rPr>
          <w:b w:val="0"/>
          <w:bCs w:val="0"/>
          <w:rtl/>
        </w:rPr>
      </w:pPr>
      <w:r>
        <w:rPr>
          <w:rFonts w:hint="cs"/>
          <w:b w:val="0"/>
          <w:bCs w:val="0"/>
          <w:rtl/>
        </w:rPr>
        <w:t>תידרש תוספת תקציב של מיליונים בודדים לצורך היערכות, הן מבחינת כח אדם והן מבחינת אמצעים טכנולוגיים</w:t>
      </w:r>
      <w:r w:rsidR="00BB51EB">
        <w:rPr>
          <w:rFonts w:hint="cs"/>
          <w:b w:val="0"/>
          <w:bCs w:val="0"/>
          <w:rtl/>
        </w:rPr>
        <w:t>, לצורך</w:t>
      </w:r>
      <w:r>
        <w:rPr>
          <w:rFonts w:hint="cs"/>
          <w:b w:val="0"/>
          <w:bCs w:val="0"/>
          <w:rtl/>
        </w:rPr>
        <w:t xml:space="preserve"> קיום הסכם פטקא ולאחר מכן לקיום חילופי מידע אוטומטיים לפי האמנה המולטילטרלית.</w:t>
      </w:r>
    </w:p>
    <w:p w:rsidR="0067504C" w:rsidRDefault="0067504C" w:rsidP="0067504C">
      <w:pPr>
        <w:pStyle w:val="HesberWriters"/>
        <w:numPr>
          <w:ilvl w:val="0"/>
          <w:numId w:val="7"/>
        </w:numPr>
        <w:spacing w:after="120"/>
        <w:ind w:left="283" w:hanging="283"/>
        <w:jc w:val="both"/>
        <w:rPr>
          <w:b w:val="0"/>
          <w:bCs w:val="0"/>
        </w:rPr>
      </w:pPr>
      <w:r w:rsidRPr="001312CC">
        <w:rPr>
          <w:rFonts w:hint="cs"/>
          <w:u w:val="single"/>
          <w:rtl/>
        </w:rPr>
        <w:t xml:space="preserve">השפעת </w:t>
      </w:r>
      <w:r>
        <w:rPr>
          <w:rFonts w:hint="cs"/>
          <w:u w:val="single"/>
          <w:rtl/>
        </w:rPr>
        <w:t>החוק המוצע על התקן המינהלי</w:t>
      </w:r>
    </w:p>
    <w:p w:rsidR="0067504C" w:rsidRPr="001312CC" w:rsidRDefault="0067504C" w:rsidP="0067504C">
      <w:pPr>
        <w:pStyle w:val="HesberWriters"/>
        <w:spacing w:after="120"/>
        <w:ind w:left="283"/>
        <w:jc w:val="both"/>
        <w:rPr>
          <w:b w:val="0"/>
          <w:bCs w:val="0"/>
          <w:rtl/>
        </w:rPr>
      </w:pPr>
      <w:r>
        <w:rPr>
          <w:rFonts w:hint="cs"/>
          <w:b w:val="0"/>
          <w:bCs w:val="0"/>
          <w:rtl/>
        </w:rPr>
        <w:t>ת</w:t>
      </w:r>
      <w:r w:rsidR="00BB51EB">
        <w:rPr>
          <w:rFonts w:hint="cs"/>
          <w:b w:val="0"/>
          <w:bCs w:val="0"/>
          <w:rtl/>
        </w:rPr>
        <w:t>י</w:t>
      </w:r>
      <w:r>
        <w:rPr>
          <w:rFonts w:hint="cs"/>
          <w:b w:val="0"/>
          <w:bCs w:val="0"/>
          <w:rtl/>
        </w:rPr>
        <w:t xml:space="preserve">דרש תוספת של מספר עובדים ברשות המסים שיהיו אחראיים על קבלת המידע, עיבודו וקיום ההליכים לחילופי מידע אוטומטיים. </w:t>
      </w:r>
    </w:p>
    <w:p w:rsidR="0067504C" w:rsidRDefault="0067504C" w:rsidP="0067504C">
      <w:pPr>
        <w:widowControl/>
        <w:autoSpaceDE/>
        <w:autoSpaceDN/>
        <w:adjustRightInd/>
        <w:spacing w:before="0" w:line="240" w:lineRule="auto"/>
        <w:ind w:firstLine="0"/>
        <w:jc w:val="left"/>
        <w:textAlignment w:val="auto"/>
        <w:rPr>
          <w:rFonts w:ascii="Arial" w:eastAsia="Arial Unicode MS" w:hAnsi="Arial" w:cs="David"/>
          <w:b/>
          <w:bCs/>
          <w:snapToGrid w:val="0"/>
          <w:spacing w:val="0"/>
          <w:sz w:val="20"/>
          <w:szCs w:val="26"/>
          <w:rtl/>
        </w:rPr>
      </w:pPr>
      <w:r>
        <w:rPr>
          <w:rtl/>
        </w:rPr>
        <w:br w:type="page"/>
      </w:r>
    </w:p>
    <w:p w:rsidR="005D51AE" w:rsidRDefault="00E3466E" w:rsidP="00CF7619">
      <w:pPr>
        <w:pStyle w:val="HeadHatzaotHok"/>
        <w:keepNext w:val="0"/>
        <w:keepLines w:val="0"/>
        <w:rPr>
          <w:rtl/>
        </w:rPr>
      </w:pPr>
      <w:r w:rsidRPr="00E3466E">
        <w:rPr>
          <w:rtl/>
        </w:rPr>
        <w:lastRenderedPageBreak/>
        <w:t>חוק לתיקון פקודת מס הכנסה (תיקון מס'), התשע"ד-2014</w:t>
      </w:r>
      <w:bookmarkEnd w:id="0"/>
    </w:p>
    <w:p w:rsidR="00E3466E" w:rsidRPr="00E3466E" w:rsidRDefault="00E3466E" w:rsidP="00E3466E">
      <w:pPr>
        <w:pStyle w:val="HeadHatzaotHok"/>
        <w:keepNext w:val="0"/>
        <w:keepLines w:val="0"/>
        <w:jc w:val="both"/>
        <w:rPr>
          <w:b w:val="0"/>
          <w:bCs w:val="0"/>
          <w:rtl/>
        </w:rPr>
      </w:pPr>
      <w:r w:rsidRPr="00E3466E">
        <w:rPr>
          <w:rFonts w:hint="cs"/>
          <w:b w:val="0"/>
          <w:bCs w:val="0"/>
          <w:rtl/>
        </w:rPr>
        <w:t>בפקודת מס הכנסה</w:t>
      </w:r>
      <w:r>
        <w:rPr>
          <w:rFonts w:hint="cs"/>
          <w:b w:val="0"/>
          <w:bCs w:val="0"/>
          <w:rtl/>
        </w:rPr>
        <w:t xml:space="preserve"> (נוסח חדש), התשכ"א-1961 </w:t>
      </w:r>
      <w:r>
        <w:rPr>
          <w:rStyle w:val="FootnoteReference"/>
          <w:b w:val="0"/>
          <w:bCs w:val="0"/>
          <w:rtl/>
        </w:rPr>
        <w:footnoteReference w:id="2"/>
      </w:r>
      <w:r>
        <w:rPr>
          <w:rFonts w:hint="cs"/>
          <w:b w:val="0"/>
          <w:bCs w:val="0"/>
          <w:rtl/>
        </w:rPr>
        <w:t>, אחרי סעיף 135א יבוא:</w:t>
      </w:r>
    </w:p>
    <w:tbl>
      <w:tblPr>
        <w:bidiVisual/>
        <w:tblW w:w="9638"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3"/>
      </w:tblGrid>
      <w:tr w:rsidR="002D445F" w:rsidTr="006D0310">
        <w:trPr>
          <w:cantSplit/>
        </w:trPr>
        <w:tc>
          <w:tcPr>
            <w:tcW w:w="1871" w:type="dxa"/>
          </w:tcPr>
          <w:p w:rsidR="002D445F" w:rsidRDefault="002D445F" w:rsidP="009F32FE">
            <w:pPr>
              <w:pStyle w:val="TableSideHeading"/>
            </w:pPr>
          </w:p>
        </w:tc>
        <w:tc>
          <w:tcPr>
            <w:tcW w:w="624" w:type="dxa"/>
          </w:tcPr>
          <w:p w:rsidR="002D445F" w:rsidRDefault="002D445F" w:rsidP="009F32FE">
            <w:pPr>
              <w:pStyle w:val="TableText"/>
            </w:pPr>
          </w:p>
        </w:tc>
        <w:tc>
          <w:tcPr>
            <w:tcW w:w="7143" w:type="dxa"/>
          </w:tcPr>
          <w:p w:rsidR="002D445F" w:rsidRPr="00E3466E" w:rsidRDefault="002D445F" w:rsidP="006D0310">
            <w:pPr>
              <w:pStyle w:val="TableHead"/>
            </w:pPr>
          </w:p>
        </w:tc>
      </w:tr>
      <w:tr w:rsidR="00E3466E" w:rsidTr="006D0310">
        <w:trPr>
          <w:cantSplit/>
        </w:trPr>
        <w:tc>
          <w:tcPr>
            <w:tcW w:w="1871" w:type="dxa"/>
          </w:tcPr>
          <w:p w:rsidR="00E3466E" w:rsidRDefault="00B506F6" w:rsidP="007E751D">
            <w:pPr>
              <w:pStyle w:val="TableSideHeading"/>
              <w:keepLines w:val="0"/>
            </w:pPr>
            <w:r>
              <w:rPr>
                <w:rFonts w:hint="cs"/>
                <w:rtl/>
              </w:rPr>
              <w:t>דרישת מידע ממוסד פיננסי</w:t>
            </w:r>
          </w:p>
        </w:tc>
        <w:tc>
          <w:tcPr>
            <w:tcW w:w="624" w:type="dxa"/>
          </w:tcPr>
          <w:p w:rsidR="00E3466E" w:rsidRDefault="00E3466E" w:rsidP="00E3466E">
            <w:pPr>
              <w:pStyle w:val="TableText"/>
              <w:keepLines w:val="0"/>
            </w:pPr>
            <w:r>
              <w:rPr>
                <w:rFonts w:hint="cs"/>
                <w:rtl/>
              </w:rPr>
              <w:t>135ב.</w:t>
            </w:r>
          </w:p>
        </w:tc>
        <w:tc>
          <w:tcPr>
            <w:tcW w:w="7143" w:type="dxa"/>
          </w:tcPr>
          <w:p w:rsidR="00E3466E" w:rsidRDefault="00E3466E" w:rsidP="004C5D36">
            <w:pPr>
              <w:pStyle w:val="TableBlock"/>
              <w:rPr>
                <w:rtl/>
              </w:rPr>
            </w:pPr>
            <w:r>
              <w:rPr>
                <w:rFonts w:hint="cs"/>
                <w:rtl/>
              </w:rPr>
              <w:t>שר האוצר</w:t>
            </w:r>
            <w:r w:rsidR="00D509CA">
              <w:rPr>
                <w:rFonts w:hint="cs"/>
                <w:rtl/>
              </w:rPr>
              <w:t>,</w:t>
            </w:r>
            <w:r>
              <w:rPr>
                <w:rFonts w:hint="cs"/>
                <w:rtl/>
              </w:rPr>
              <w:t xml:space="preserve"> באישור ועדת הכספים של הכנסת</w:t>
            </w:r>
            <w:r w:rsidR="00D509CA">
              <w:rPr>
                <w:rFonts w:hint="cs"/>
                <w:rtl/>
              </w:rPr>
              <w:t>,</w:t>
            </w:r>
            <w:r>
              <w:rPr>
                <w:rFonts w:hint="cs"/>
                <w:rtl/>
              </w:rPr>
              <w:t xml:space="preserve"> יקבע בתקנות הוראות </w:t>
            </w:r>
            <w:r w:rsidR="00F6604C">
              <w:rPr>
                <w:rFonts w:hint="cs"/>
                <w:rtl/>
              </w:rPr>
              <w:t xml:space="preserve">לזיהוי </w:t>
            </w:r>
            <w:r w:rsidR="004C5D36">
              <w:rPr>
                <w:rFonts w:hint="cs"/>
                <w:rtl/>
              </w:rPr>
              <w:t xml:space="preserve">פרטים </w:t>
            </w:r>
            <w:r w:rsidR="00F6604C">
              <w:rPr>
                <w:rFonts w:hint="cs"/>
                <w:rtl/>
              </w:rPr>
              <w:t>ש</w:t>
            </w:r>
            <w:r w:rsidR="004C5D36">
              <w:rPr>
                <w:rFonts w:hint="cs"/>
                <w:rtl/>
              </w:rPr>
              <w:t xml:space="preserve">ל </w:t>
            </w:r>
            <w:r w:rsidR="00F6604C">
              <w:rPr>
                <w:rFonts w:hint="cs"/>
                <w:rtl/>
              </w:rPr>
              <w:t>בעל זכות ב</w:t>
            </w:r>
            <w:r w:rsidR="004C5D36">
              <w:rPr>
                <w:rFonts w:hint="cs"/>
                <w:rtl/>
              </w:rPr>
              <w:t>חשבון במוסד פיננסי ו</w:t>
            </w:r>
            <w:r w:rsidR="006B69D6">
              <w:rPr>
                <w:rFonts w:hint="cs"/>
                <w:rtl/>
              </w:rPr>
              <w:t xml:space="preserve">אופן </w:t>
            </w:r>
            <w:r w:rsidR="004C5D36">
              <w:rPr>
                <w:rFonts w:hint="cs"/>
                <w:rtl/>
              </w:rPr>
              <w:t>העברתם למנהל.</w:t>
            </w:r>
          </w:p>
          <w:p w:rsidR="00F6604C" w:rsidRDefault="00F6604C" w:rsidP="004C5D36">
            <w:pPr>
              <w:pStyle w:val="TableBlock"/>
              <w:rPr>
                <w:rtl/>
              </w:rPr>
            </w:pPr>
          </w:p>
          <w:p w:rsidR="00F6604C" w:rsidRDefault="00F6604C" w:rsidP="00B240D1">
            <w:pPr>
              <w:pStyle w:val="TableBlock"/>
              <w:rPr>
                <w:rtl/>
              </w:rPr>
            </w:pPr>
            <w:r>
              <w:rPr>
                <w:rFonts w:hint="cs"/>
                <w:rtl/>
              </w:rPr>
              <w:t>לענין זה "מוסד פיננסי"- מוסד למשמורת, מוסד לפ</w:t>
            </w:r>
            <w:r w:rsidR="00B240D1">
              <w:rPr>
                <w:rFonts w:hint="cs"/>
                <w:rtl/>
              </w:rPr>
              <w:t>י</w:t>
            </w:r>
            <w:r w:rsidR="000A0898">
              <w:rPr>
                <w:rFonts w:hint="cs"/>
                <w:rtl/>
              </w:rPr>
              <w:t>קדונות,  יישות ה</w:t>
            </w:r>
            <w:r>
              <w:rPr>
                <w:rFonts w:hint="cs"/>
                <w:rtl/>
              </w:rPr>
              <w:t>עוסקת בהשקעות, חברת ביטוח מסויימת ומי שיקבע על ידי שר האוצר, באישור וועדת הכספים של הכנסת כמוסד פיננסי.</w:t>
            </w:r>
          </w:p>
          <w:p w:rsidR="00F6604C" w:rsidRDefault="00F6604C" w:rsidP="004C5D36">
            <w:pPr>
              <w:pStyle w:val="TableBlock"/>
              <w:rPr>
                <w:rtl/>
              </w:rPr>
            </w:pPr>
          </w:p>
          <w:p w:rsidR="00F6604C" w:rsidRPr="00C34DE2" w:rsidRDefault="00F6604C" w:rsidP="004C5D36">
            <w:pPr>
              <w:pStyle w:val="TableBlock"/>
              <w:rPr>
                <w:rtl/>
              </w:rPr>
            </w:pPr>
            <w:r>
              <w:rPr>
                <w:rFonts w:hint="cs"/>
                <w:rtl/>
              </w:rPr>
              <w:t>"בעל זכות בחשבון במוסד פיננסי"</w:t>
            </w:r>
            <w:r w:rsidR="000A0898">
              <w:rPr>
                <w:rFonts w:hint="cs"/>
                <w:rtl/>
              </w:rPr>
              <w:t xml:space="preserve"> </w:t>
            </w:r>
            <w:r>
              <w:rPr>
                <w:rFonts w:hint="cs"/>
                <w:rtl/>
              </w:rPr>
              <w:t>- לרבות נהנה כהגדרתו בחוק איסור הלבנת הון, התש"ס- 2000 2)</w:t>
            </w:r>
          </w:p>
        </w:tc>
      </w:tr>
      <w:tr w:rsidR="00E3466E" w:rsidTr="006D0310">
        <w:trPr>
          <w:cantSplit/>
        </w:trPr>
        <w:tc>
          <w:tcPr>
            <w:tcW w:w="1871" w:type="dxa"/>
          </w:tcPr>
          <w:p w:rsidR="00E3466E" w:rsidRDefault="00E3466E" w:rsidP="007E751D">
            <w:pPr>
              <w:pStyle w:val="TableSideHeading"/>
              <w:keepLines w:val="0"/>
              <w:rPr>
                <w:rtl/>
              </w:rPr>
            </w:pPr>
          </w:p>
        </w:tc>
        <w:tc>
          <w:tcPr>
            <w:tcW w:w="624" w:type="dxa"/>
          </w:tcPr>
          <w:p w:rsidR="00E3466E" w:rsidRDefault="00E3466E" w:rsidP="00E3466E">
            <w:pPr>
              <w:pStyle w:val="TableText"/>
              <w:rPr>
                <w:rtl/>
              </w:rPr>
            </w:pPr>
          </w:p>
        </w:tc>
        <w:tc>
          <w:tcPr>
            <w:tcW w:w="7143" w:type="dxa"/>
          </w:tcPr>
          <w:p w:rsidR="00E3466E" w:rsidRDefault="00274C6E" w:rsidP="002D4DF4">
            <w:pPr>
              <w:pStyle w:val="TableBlock"/>
              <w:rPr>
                <w:rtl/>
              </w:rPr>
            </w:pPr>
            <w:r>
              <w:rPr>
                <w:rFonts w:hint="cs"/>
                <w:rtl/>
              </w:rPr>
              <w:t>"</w:t>
            </w:r>
            <w:r w:rsidR="00A632CE">
              <w:rPr>
                <w:rFonts w:hint="cs"/>
                <w:rtl/>
              </w:rPr>
              <w:t xml:space="preserve">מוסד </w:t>
            </w:r>
            <w:r w:rsidR="00EE2EF1">
              <w:rPr>
                <w:rFonts w:hint="cs"/>
                <w:rtl/>
              </w:rPr>
              <w:t>ל</w:t>
            </w:r>
            <w:r w:rsidR="00E3466E">
              <w:rPr>
                <w:rFonts w:hint="cs"/>
                <w:rtl/>
              </w:rPr>
              <w:t xml:space="preserve">משמורת" </w:t>
            </w:r>
            <w:r w:rsidR="00E3466E">
              <w:rPr>
                <w:rtl/>
              </w:rPr>
              <w:t>–</w:t>
            </w:r>
            <w:r w:rsidR="00E3466E">
              <w:rPr>
                <w:rFonts w:hint="cs"/>
                <w:rtl/>
              </w:rPr>
              <w:t xml:space="preserve"> אדם המחזיק כחלק מהותי מעסקיו נכסים פיננסים בשביל אחר</w:t>
            </w:r>
            <w:r w:rsidR="007058F2">
              <w:rPr>
                <w:rFonts w:hint="cs"/>
                <w:rtl/>
              </w:rPr>
              <w:t>,</w:t>
            </w:r>
            <w:r w:rsidR="00E3466E">
              <w:rPr>
                <w:rFonts w:hint="cs"/>
                <w:rtl/>
              </w:rPr>
              <w:t xml:space="preserve"> ויראו אדם כמחזיק כחלק מהותי מעסקיו נכסים פיננסים בשביל אחר אם הכנסתו מהחזקת נכסים פיננסים כאמור היא 20% או יותר מכלל הכנסתו במהלך התקופה הקצרה מבין אלה: </w:t>
            </w:r>
          </w:p>
        </w:tc>
      </w:tr>
      <w:tr w:rsidR="00E3466E" w:rsidTr="006D0310">
        <w:trPr>
          <w:cantSplit/>
        </w:trPr>
        <w:tc>
          <w:tcPr>
            <w:tcW w:w="1871" w:type="dxa"/>
          </w:tcPr>
          <w:p w:rsidR="00E3466E" w:rsidRDefault="00E3466E" w:rsidP="007E751D">
            <w:pPr>
              <w:pStyle w:val="TableSideHeading"/>
              <w:keepLines w:val="0"/>
              <w:rPr>
                <w:rtl/>
              </w:rPr>
            </w:pPr>
          </w:p>
        </w:tc>
        <w:tc>
          <w:tcPr>
            <w:tcW w:w="624" w:type="dxa"/>
          </w:tcPr>
          <w:p w:rsidR="00E3466E" w:rsidRDefault="00E3466E" w:rsidP="00E3466E">
            <w:pPr>
              <w:pStyle w:val="TableText"/>
              <w:rPr>
                <w:rtl/>
              </w:rPr>
            </w:pPr>
          </w:p>
        </w:tc>
        <w:tc>
          <w:tcPr>
            <w:tcW w:w="7143" w:type="dxa"/>
          </w:tcPr>
          <w:p w:rsidR="00E3466E" w:rsidRDefault="00E3466E" w:rsidP="00C24B1B">
            <w:pPr>
              <w:pStyle w:val="TableBlock"/>
              <w:numPr>
                <w:ilvl w:val="0"/>
                <w:numId w:val="5"/>
              </w:numPr>
              <w:tabs>
                <w:tab w:val="left" w:pos="624"/>
              </w:tabs>
              <w:rPr>
                <w:rtl/>
              </w:rPr>
            </w:pPr>
            <w:r>
              <w:rPr>
                <w:rFonts w:hint="cs"/>
                <w:rtl/>
              </w:rPr>
              <w:t xml:space="preserve">שלוש שנות המס הקודמות לשנת המס שבה </w:t>
            </w:r>
            <w:r w:rsidR="00FF0CE2">
              <w:rPr>
                <w:rFonts w:hint="cs"/>
                <w:rtl/>
              </w:rPr>
              <w:t>נבדק האם הוא נותן שירותי משמורת;</w:t>
            </w: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p w:rsidR="006D0310" w:rsidRDefault="006D0310" w:rsidP="006D0310">
            <w:pPr>
              <w:pStyle w:val="TableBlock"/>
              <w:numPr>
                <w:ilvl w:val="0"/>
                <w:numId w:val="5"/>
              </w:numPr>
              <w:tabs>
                <w:tab w:val="left" w:pos="624"/>
              </w:tabs>
              <w:rPr>
                <w:rtl/>
              </w:rPr>
            </w:pPr>
            <w:r>
              <w:rPr>
                <w:rFonts w:hint="cs"/>
                <w:rtl/>
              </w:rPr>
              <w:t xml:space="preserve">אם הוא חבר בני אדם </w:t>
            </w:r>
            <w:r>
              <w:rPr>
                <w:rtl/>
              </w:rPr>
              <w:t>–</w:t>
            </w:r>
            <w:r>
              <w:rPr>
                <w:rFonts w:hint="cs"/>
                <w:rtl/>
              </w:rPr>
              <w:t xml:space="preserve"> התקופה שמיום התאגדותו.</w:t>
            </w: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tbl>
            <w:tblPr>
              <w:bidiVisual/>
              <w:tblW w:w="7144" w:type="dxa"/>
              <w:tblLayout w:type="fixed"/>
              <w:tblCellMar>
                <w:top w:w="57" w:type="dxa"/>
                <w:left w:w="0" w:type="dxa"/>
                <w:bottom w:w="57" w:type="dxa"/>
                <w:right w:w="0" w:type="dxa"/>
              </w:tblCellMar>
              <w:tblLook w:val="01E0" w:firstRow="1" w:lastRow="1" w:firstColumn="1" w:lastColumn="1" w:noHBand="0" w:noVBand="0"/>
            </w:tblPr>
            <w:tblGrid>
              <w:gridCol w:w="7144"/>
            </w:tblGrid>
            <w:tr w:rsidR="00C24B1B" w:rsidTr="0067504C">
              <w:trPr>
                <w:cantSplit/>
              </w:trPr>
              <w:tc>
                <w:tcPr>
                  <w:tcW w:w="7144" w:type="dxa"/>
                </w:tcPr>
                <w:p w:rsidR="00C24B1B" w:rsidRDefault="00C24B1B" w:rsidP="0067504C">
                  <w:pPr>
                    <w:pStyle w:val="TableBlock"/>
                    <w:tabs>
                      <w:tab w:val="left" w:pos="7647"/>
                    </w:tabs>
                    <w:rPr>
                      <w:rtl/>
                    </w:rPr>
                  </w:pPr>
                  <w:r>
                    <w:rPr>
                      <w:rFonts w:hint="cs"/>
                      <w:rtl/>
                    </w:rPr>
                    <w:t>"</w:t>
                  </w:r>
                  <w:r w:rsidR="00A632CE">
                    <w:rPr>
                      <w:rFonts w:hint="cs"/>
                      <w:rtl/>
                    </w:rPr>
                    <w:t>מוסד ל</w:t>
                  </w:r>
                  <w:r>
                    <w:rPr>
                      <w:rFonts w:hint="cs"/>
                      <w:rtl/>
                    </w:rPr>
                    <w:t>פ</w:t>
                  </w:r>
                  <w:r w:rsidR="0067504C">
                    <w:rPr>
                      <w:rFonts w:hint="cs"/>
                      <w:rtl/>
                    </w:rPr>
                    <w:t>י</w:t>
                  </w:r>
                  <w:r>
                    <w:rPr>
                      <w:rFonts w:hint="cs"/>
                      <w:rtl/>
                    </w:rPr>
                    <w:t xml:space="preserve">קדונות" </w:t>
                  </w:r>
                  <w:r>
                    <w:rPr>
                      <w:rtl/>
                    </w:rPr>
                    <w:t>–</w:t>
                  </w:r>
                  <w:r>
                    <w:rPr>
                      <w:rFonts w:hint="cs"/>
                      <w:rtl/>
                    </w:rPr>
                    <w:t xml:space="preserve"> אדם המקבל פ</w:t>
                  </w:r>
                  <w:r w:rsidR="0067504C">
                    <w:rPr>
                      <w:rFonts w:hint="cs"/>
                      <w:rtl/>
                    </w:rPr>
                    <w:t>י</w:t>
                  </w:r>
                  <w:r>
                    <w:rPr>
                      <w:rFonts w:hint="cs"/>
                      <w:rtl/>
                    </w:rPr>
                    <w:t xml:space="preserve">קדונות מאחר במהלך העסקים הרגיל </w:t>
                  </w:r>
                  <w:r w:rsidR="0067504C">
                    <w:rPr>
                      <w:rFonts w:hint="cs"/>
                      <w:rtl/>
                    </w:rPr>
                    <w:t>של</w:t>
                  </w:r>
                  <w:r>
                    <w:rPr>
                      <w:rFonts w:hint="cs"/>
                      <w:rtl/>
                    </w:rPr>
                    <w:t>ו.</w:t>
                  </w:r>
                </w:p>
              </w:tc>
            </w:tr>
          </w:tbl>
          <w:p w:rsidR="006D0310" w:rsidRDefault="006D0310" w:rsidP="006D0310">
            <w:pPr>
              <w:pStyle w:val="TableBlock"/>
              <w:rPr>
                <w:rtl/>
              </w:rPr>
            </w:pP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p w:rsidR="006D0310" w:rsidRDefault="00274C6E" w:rsidP="00A632CE">
            <w:pPr>
              <w:pStyle w:val="TableBlock"/>
              <w:rPr>
                <w:rtl/>
              </w:rPr>
            </w:pPr>
            <w:r>
              <w:rPr>
                <w:rFonts w:hint="cs"/>
                <w:rtl/>
              </w:rPr>
              <w:t>"</w:t>
            </w:r>
            <w:r w:rsidR="002D4DF4">
              <w:rPr>
                <w:rFonts w:hint="cs"/>
                <w:rtl/>
              </w:rPr>
              <w:t>ישות</w:t>
            </w:r>
            <w:r w:rsidR="001629F2">
              <w:rPr>
                <w:rFonts w:hint="cs"/>
                <w:rtl/>
              </w:rPr>
              <w:t xml:space="preserve"> </w:t>
            </w:r>
            <w:r w:rsidR="00A632CE">
              <w:rPr>
                <w:rFonts w:hint="cs"/>
                <w:rtl/>
              </w:rPr>
              <w:t xml:space="preserve">העוסקת </w:t>
            </w:r>
            <w:r w:rsidR="00EE2EF1">
              <w:rPr>
                <w:rFonts w:hint="cs"/>
                <w:rtl/>
              </w:rPr>
              <w:t>ב</w:t>
            </w:r>
            <w:r w:rsidR="006D0310">
              <w:rPr>
                <w:rFonts w:hint="cs"/>
                <w:rtl/>
              </w:rPr>
              <w:t xml:space="preserve">השקעות" </w:t>
            </w:r>
            <w:r w:rsidR="006D0310">
              <w:rPr>
                <w:rtl/>
              </w:rPr>
              <w:t>–</w:t>
            </w:r>
            <w:r w:rsidR="006D0310">
              <w:rPr>
                <w:rFonts w:hint="cs"/>
                <w:rtl/>
              </w:rPr>
              <w:t xml:space="preserve"> אדם המנהל כעסק אחת או יותר מהפעולות הבאות</w:t>
            </w:r>
            <w:r w:rsidR="00DD4B0A">
              <w:rPr>
                <w:rFonts w:hint="cs"/>
                <w:rtl/>
              </w:rPr>
              <w:t>,</w:t>
            </w:r>
            <w:r w:rsidR="006D0310">
              <w:rPr>
                <w:rFonts w:hint="cs"/>
                <w:rtl/>
              </w:rPr>
              <w:t xml:space="preserve"> למען אחר</w:t>
            </w:r>
            <w:r w:rsidR="00DD4B0A">
              <w:rPr>
                <w:rFonts w:hint="cs"/>
                <w:rtl/>
              </w:rPr>
              <w:t>:</w:t>
            </w: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p w:rsidR="006D0310" w:rsidRDefault="008F3471" w:rsidP="00A632CE">
            <w:pPr>
              <w:pStyle w:val="TableBlock"/>
              <w:numPr>
                <w:ilvl w:val="0"/>
                <w:numId w:val="6"/>
              </w:numPr>
              <w:tabs>
                <w:tab w:val="left" w:pos="624"/>
              </w:tabs>
              <w:rPr>
                <w:rtl/>
              </w:rPr>
            </w:pPr>
            <w:r>
              <w:rPr>
                <w:rFonts w:hint="cs"/>
                <w:rtl/>
              </w:rPr>
              <w:t xml:space="preserve"> מסחר בשוק ההון, </w:t>
            </w:r>
            <w:r w:rsidR="00DD4B0A">
              <w:rPr>
                <w:rFonts w:hint="cs"/>
                <w:rtl/>
              </w:rPr>
              <w:t>מ</w:t>
            </w:r>
            <w:r w:rsidR="006D0310">
              <w:rPr>
                <w:rFonts w:hint="cs"/>
                <w:rtl/>
              </w:rPr>
              <w:t xml:space="preserve">סחר במכשירים </w:t>
            </w:r>
            <w:r w:rsidR="00C24B1B">
              <w:rPr>
                <w:rFonts w:hint="cs"/>
                <w:rtl/>
              </w:rPr>
              <w:t xml:space="preserve">בשוק </w:t>
            </w:r>
            <w:r w:rsidR="00A632CE">
              <w:rPr>
                <w:rFonts w:hint="cs"/>
                <w:rtl/>
              </w:rPr>
              <w:t>ההון</w:t>
            </w:r>
            <w:r w:rsidR="00C24B1B">
              <w:rPr>
                <w:rFonts w:hint="cs"/>
                <w:rtl/>
              </w:rPr>
              <w:t xml:space="preserve"> ובהם</w:t>
            </w:r>
            <w:r w:rsidR="006D0310">
              <w:rPr>
                <w:rFonts w:hint="cs"/>
                <w:rtl/>
              </w:rPr>
              <w:t xml:space="preserve"> </w:t>
            </w:r>
            <w:r w:rsidR="002D4DF4">
              <w:rPr>
                <w:rFonts w:hint="cs"/>
                <w:rtl/>
              </w:rPr>
              <w:t>המחאות</w:t>
            </w:r>
            <w:r w:rsidR="006D0310">
              <w:rPr>
                <w:rFonts w:hint="cs"/>
                <w:rtl/>
              </w:rPr>
              <w:t xml:space="preserve">, שטרות, </w:t>
            </w:r>
            <w:r w:rsidR="00C24B1B">
              <w:rPr>
                <w:rFonts w:hint="cs"/>
                <w:rtl/>
              </w:rPr>
              <w:t>תעודות פ</w:t>
            </w:r>
            <w:r w:rsidR="000A0898">
              <w:rPr>
                <w:rFonts w:hint="cs"/>
                <w:rtl/>
              </w:rPr>
              <w:t>י</w:t>
            </w:r>
            <w:r w:rsidR="00C24B1B">
              <w:rPr>
                <w:rFonts w:hint="cs"/>
                <w:rtl/>
              </w:rPr>
              <w:t>קדון</w:t>
            </w:r>
            <w:r w:rsidR="002D4DF4">
              <w:rPr>
                <w:rFonts w:hint="cs"/>
                <w:rtl/>
              </w:rPr>
              <w:t xml:space="preserve">, </w:t>
            </w:r>
            <w:r w:rsidR="006D0310">
              <w:rPr>
                <w:rFonts w:hint="cs"/>
                <w:rtl/>
              </w:rPr>
              <w:t>נגזר</w:t>
            </w:r>
            <w:r>
              <w:rPr>
                <w:rFonts w:hint="cs"/>
                <w:rtl/>
              </w:rPr>
              <w:t>ים</w:t>
            </w:r>
            <w:r w:rsidR="006D0310">
              <w:rPr>
                <w:rFonts w:hint="cs"/>
                <w:rtl/>
              </w:rPr>
              <w:t>, ני</w:t>
            </w:r>
            <w:r w:rsidR="00DD4B0A">
              <w:rPr>
                <w:rFonts w:hint="cs"/>
                <w:rtl/>
              </w:rPr>
              <w:t xml:space="preserve">ירות ערך </w:t>
            </w:r>
            <w:r>
              <w:rPr>
                <w:rFonts w:hint="cs"/>
                <w:rtl/>
              </w:rPr>
              <w:t>סחירים, שערי חליפין</w:t>
            </w:r>
            <w:r w:rsidR="00A632CE">
              <w:rPr>
                <w:rFonts w:hint="cs"/>
                <w:rtl/>
              </w:rPr>
              <w:t>,</w:t>
            </w:r>
            <w:r w:rsidR="007838E1">
              <w:rPr>
                <w:rFonts w:hint="cs"/>
                <w:rtl/>
              </w:rPr>
              <w:t xml:space="preserve"> המרה, מכשירים הצמודים למדד </w:t>
            </w:r>
            <w:r w:rsidR="006D0310">
              <w:rPr>
                <w:rFonts w:hint="cs"/>
                <w:rtl/>
              </w:rPr>
              <w:t>או חוזים עתידיים ל</w:t>
            </w:r>
            <w:r w:rsidR="00DD4B0A">
              <w:rPr>
                <w:rFonts w:hint="cs"/>
                <w:rtl/>
              </w:rPr>
              <w:t xml:space="preserve">גבי </w:t>
            </w:r>
            <w:r w:rsidR="00FF0CE2">
              <w:rPr>
                <w:rFonts w:hint="cs"/>
                <w:rtl/>
              </w:rPr>
              <w:t>סחורות;</w:t>
            </w: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p w:rsidR="006D0310" w:rsidRDefault="006D0310" w:rsidP="00C24B1B">
            <w:pPr>
              <w:pStyle w:val="TableBlock"/>
              <w:numPr>
                <w:ilvl w:val="0"/>
                <w:numId w:val="6"/>
              </w:numPr>
              <w:tabs>
                <w:tab w:val="left" w:pos="624"/>
              </w:tabs>
              <w:rPr>
                <w:rtl/>
              </w:rPr>
            </w:pPr>
            <w:r>
              <w:rPr>
                <w:rFonts w:hint="cs"/>
                <w:rtl/>
              </w:rPr>
              <w:t xml:space="preserve">ניהול תיקים ליחיד או </w:t>
            </w:r>
            <w:r w:rsidR="00FF0CE2">
              <w:rPr>
                <w:rFonts w:hint="cs"/>
                <w:rtl/>
              </w:rPr>
              <w:t>לקבוצה;</w:t>
            </w: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p w:rsidR="006D0310" w:rsidRDefault="006D0310" w:rsidP="00DD4B0A">
            <w:pPr>
              <w:pStyle w:val="TableBlock"/>
              <w:numPr>
                <w:ilvl w:val="0"/>
                <w:numId w:val="6"/>
              </w:numPr>
              <w:tabs>
                <w:tab w:val="left" w:pos="624"/>
              </w:tabs>
              <w:rPr>
                <w:rtl/>
              </w:rPr>
            </w:pPr>
            <w:r>
              <w:rPr>
                <w:rFonts w:hint="cs"/>
                <w:rtl/>
              </w:rPr>
              <w:t>כל השקעה</w:t>
            </w:r>
            <w:r w:rsidR="00DD4B0A">
              <w:rPr>
                <w:rFonts w:hint="cs"/>
                <w:rtl/>
              </w:rPr>
              <w:t xml:space="preserve"> או </w:t>
            </w:r>
            <w:r>
              <w:rPr>
                <w:rFonts w:hint="cs"/>
                <w:rtl/>
              </w:rPr>
              <w:t xml:space="preserve">ניהול </w:t>
            </w:r>
            <w:r w:rsidR="00DD4B0A">
              <w:rPr>
                <w:rFonts w:hint="cs"/>
                <w:rtl/>
              </w:rPr>
              <w:t>של</w:t>
            </w:r>
            <w:r>
              <w:rPr>
                <w:rFonts w:hint="cs"/>
                <w:rtl/>
              </w:rPr>
              <w:t xml:space="preserve"> כסף בד</w:t>
            </w:r>
            <w:r w:rsidR="00DD4B0A">
              <w:rPr>
                <w:rFonts w:hint="cs"/>
                <w:rtl/>
              </w:rPr>
              <w:t>ר</w:t>
            </w:r>
            <w:r>
              <w:rPr>
                <w:rFonts w:hint="cs"/>
                <w:rtl/>
              </w:rPr>
              <w:t>ך אחרת עבור אחר.</w:t>
            </w:r>
          </w:p>
        </w:tc>
      </w:tr>
      <w:tr w:rsidR="006D0310" w:rsidTr="006D0310">
        <w:trPr>
          <w:cantSplit/>
        </w:trPr>
        <w:tc>
          <w:tcPr>
            <w:tcW w:w="1871" w:type="dxa"/>
          </w:tcPr>
          <w:p w:rsidR="006D0310" w:rsidRDefault="006D0310" w:rsidP="007E751D">
            <w:pPr>
              <w:pStyle w:val="TableSideHeading"/>
              <w:keepLines w:val="0"/>
              <w:rPr>
                <w:rtl/>
              </w:rPr>
            </w:pPr>
          </w:p>
        </w:tc>
        <w:tc>
          <w:tcPr>
            <w:tcW w:w="624" w:type="dxa"/>
          </w:tcPr>
          <w:p w:rsidR="006D0310" w:rsidRDefault="006D0310" w:rsidP="006D0310">
            <w:pPr>
              <w:pStyle w:val="TableText"/>
              <w:rPr>
                <w:rtl/>
              </w:rPr>
            </w:pPr>
          </w:p>
        </w:tc>
        <w:tc>
          <w:tcPr>
            <w:tcW w:w="7143" w:type="dxa"/>
          </w:tcPr>
          <w:p w:rsidR="006D0310" w:rsidRDefault="006D0310" w:rsidP="002E3E61">
            <w:pPr>
              <w:pStyle w:val="TableBlock"/>
              <w:rPr>
                <w:rtl/>
              </w:rPr>
            </w:pPr>
            <w:r>
              <w:rPr>
                <w:rFonts w:hint="cs"/>
                <w:rtl/>
              </w:rPr>
              <w:t>"</w:t>
            </w:r>
            <w:r w:rsidR="00A632CE">
              <w:rPr>
                <w:rFonts w:hint="cs"/>
                <w:rtl/>
              </w:rPr>
              <w:t xml:space="preserve">חברת ביטוח </w:t>
            </w:r>
            <w:r w:rsidR="002E3E61">
              <w:rPr>
                <w:rFonts w:hint="cs"/>
                <w:rtl/>
              </w:rPr>
              <w:t>מסויימת</w:t>
            </w:r>
            <w:r>
              <w:rPr>
                <w:rFonts w:hint="cs"/>
                <w:rtl/>
              </w:rPr>
              <w:t xml:space="preserve">" </w:t>
            </w:r>
            <w:r>
              <w:rPr>
                <w:rtl/>
              </w:rPr>
              <w:t>–</w:t>
            </w:r>
            <w:r>
              <w:rPr>
                <w:rFonts w:hint="cs"/>
                <w:rtl/>
              </w:rPr>
              <w:t xml:space="preserve"> </w:t>
            </w:r>
            <w:r w:rsidR="00DD4B0A">
              <w:rPr>
                <w:rFonts w:hint="cs"/>
                <w:rtl/>
              </w:rPr>
              <w:t>אדם המתחייב</w:t>
            </w:r>
            <w:r w:rsidR="00155D5C">
              <w:rPr>
                <w:rFonts w:hint="cs"/>
                <w:rtl/>
              </w:rPr>
              <w:t xml:space="preserve"> </w:t>
            </w:r>
            <w:r>
              <w:rPr>
                <w:rFonts w:hint="cs"/>
                <w:rtl/>
              </w:rPr>
              <w:t>לבצע תשלומים ביחס לחוזה ביטוח</w:t>
            </w:r>
            <w:r w:rsidR="00155D5C">
              <w:rPr>
                <w:rFonts w:hint="cs"/>
                <w:rtl/>
              </w:rPr>
              <w:t xml:space="preserve"> וכן </w:t>
            </w:r>
            <w:r w:rsidR="002E3E61">
              <w:rPr>
                <w:rFonts w:hint="cs"/>
                <w:rtl/>
              </w:rPr>
              <w:t>חבר בני א</w:t>
            </w:r>
            <w:r w:rsidR="00C24B1B">
              <w:rPr>
                <w:rFonts w:hint="cs"/>
                <w:rtl/>
              </w:rPr>
              <w:t xml:space="preserve">דם שהוא בעל שליטה </w:t>
            </w:r>
            <w:r w:rsidR="002E3E61">
              <w:rPr>
                <w:rFonts w:hint="cs"/>
                <w:rtl/>
              </w:rPr>
              <w:t>המחזיק באדם כאמור</w:t>
            </w:r>
            <w:r w:rsidR="00EE2EF1">
              <w:rPr>
                <w:rFonts w:hint="cs"/>
                <w:rtl/>
              </w:rPr>
              <w:t>;</w:t>
            </w:r>
            <w:r w:rsidR="002E3E61">
              <w:rPr>
                <w:rFonts w:hint="cs"/>
                <w:rtl/>
              </w:rPr>
              <w:t xml:space="preserve"> </w:t>
            </w:r>
          </w:p>
          <w:p w:rsidR="002E3E61" w:rsidRDefault="002E3E61" w:rsidP="000A0898">
            <w:pPr>
              <w:pStyle w:val="TableBlock"/>
              <w:rPr>
                <w:rtl/>
              </w:rPr>
            </w:pPr>
            <w:r>
              <w:rPr>
                <w:rFonts w:hint="cs"/>
                <w:rtl/>
              </w:rPr>
              <w:t>לענין זה "</w:t>
            </w:r>
            <w:r w:rsidR="000A0898">
              <w:rPr>
                <w:rFonts w:hint="cs"/>
                <w:rtl/>
              </w:rPr>
              <w:t xml:space="preserve"> שליטה" </w:t>
            </w:r>
            <w:r w:rsidR="000A0898">
              <w:rPr>
                <w:rtl/>
              </w:rPr>
              <w:t>–</w:t>
            </w:r>
            <w:r w:rsidR="000A0898">
              <w:rPr>
                <w:rFonts w:hint="cs"/>
                <w:rtl/>
              </w:rPr>
              <w:t xml:space="preserve"> כהגדרתה בסעיף 85א.</w:t>
            </w:r>
          </w:p>
          <w:p w:rsidR="00274C6E" w:rsidRDefault="00274C6E" w:rsidP="00C24B1B">
            <w:pPr>
              <w:pStyle w:val="TableBlock"/>
              <w:rPr>
                <w:rtl/>
              </w:rPr>
            </w:pPr>
          </w:p>
          <w:p w:rsidR="00274C6E" w:rsidRDefault="00274C6E" w:rsidP="00C24B1B">
            <w:pPr>
              <w:pStyle w:val="TableBlock"/>
              <w:rPr>
                <w:rtl/>
              </w:rPr>
            </w:pPr>
          </w:p>
          <w:p w:rsidR="007058F2" w:rsidRDefault="007058F2" w:rsidP="00C24B1B">
            <w:pPr>
              <w:pStyle w:val="TableBlock"/>
              <w:rPr>
                <w:rtl/>
              </w:rPr>
            </w:pPr>
          </w:p>
        </w:tc>
      </w:tr>
    </w:tbl>
    <w:p w:rsidR="009D6D82" w:rsidRPr="00155D5C" w:rsidRDefault="009D6D82" w:rsidP="00CF7619">
      <w:pPr>
        <w:pStyle w:val="HeadDivreiHesber"/>
        <w:rPr>
          <w:bCs/>
          <w:color w:val="FF0000"/>
          <w:spacing w:val="0"/>
          <w:w w:val="80"/>
          <w:rtl/>
        </w:rPr>
      </w:pPr>
    </w:p>
    <w:p w:rsidR="008813AD" w:rsidRDefault="008813AD" w:rsidP="008813AD">
      <w:pPr>
        <w:pStyle w:val="HesberWriters"/>
        <w:spacing w:after="120"/>
        <w:jc w:val="both"/>
        <w:rPr>
          <w:u w:val="single"/>
          <w:rtl/>
        </w:rPr>
      </w:pPr>
    </w:p>
    <w:sectPr w:rsidR="008813AD" w:rsidSect="0043477B">
      <w:headerReference w:type="even" r:id="rId12"/>
      <w:headerReference w:type="default" r:id="rId13"/>
      <w:footerReference w:type="even" r:id="rId14"/>
      <w:footerReference w:type="default" r:id="rId15"/>
      <w:headerReference w:type="first" r:id="rId16"/>
      <w:footerReference w:type="first" r:id="rId17"/>
      <w:pgSz w:w="11907" w:h="16840" w:code="9"/>
      <w:pgMar w:top="822" w:right="1134" w:bottom="1134" w:left="1134" w:header="284" w:footer="680" w:gutter="0"/>
      <w:cols w:space="720"/>
      <w:noEndnote/>
      <w:bidi/>
      <w:rtlGutter/>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559" w:rsidRDefault="00F07559">
      <w:r>
        <w:separator/>
      </w:r>
    </w:p>
  </w:endnote>
  <w:endnote w:type="continuationSeparator" w:id="0">
    <w:p w:rsidR="00F07559" w:rsidRDefault="00F0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adasa Roso SL">
    <w:altName w:val="Times New Roman"/>
    <w:charset w:val="00"/>
    <w:family w:val="roman"/>
    <w:pitch w:val="variable"/>
    <w:sig w:usb0="80001827" w:usb1="5000004A" w:usb2="00000020" w:usb3="00000000" w:csb0="0000002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7B" w:rsidRDefault="0043477B" w:rsidP="004274C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43477B" w:rsidRDefault="004347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7B" w:rsidRPr="00293537" w:rsidRDefault="0043477B" w:rsidP="00293537">
    <w:pPr>
      <w:pStyle w:val="Footer"/>
      <w:framePr w:wrap="around" w:vAnchor="text" w:hAnchor="page" w:x="5782" w:y="55"/>
      <w:rPr>
        <w:rStyle w:val="PageNumber"/>
        <w:rFonts w:cs="David"/>
        <w:sz w:val="26"/>
        <w:szCs w:val="26"/>
      </w:rPr>
    </w:pPr>
    <w:r w:rsidRPr="00293537">
      <w:rPr>
        <w:rStyle w:val="PageNumber"/>
        <w:rFonts w:cs="David"/>
        <w:sz w:val="26"/>
        <w:szCs w:val="26"/>
        <w:rtl/>
      </w:rPr>
      <w:fldChar w:fldCharType="begin"/>
    </w:r>
    <w:r w:rsidRPr="00293537">
      <w:rPr>
        <w:rStyle w:val="PageNumber"/>
        <w:rFonts w:cs="David"/>
        <w:sz w:val="26"/>
        <w:szCs w:val="26"/>
      </w:rPr>
      <w:instrText xml:space="preserve">PAGE  </w:instrText>
    </w:r>
    <w:r w:rsidRPr="00293537">
      <w:rPr>
        <w:rStyle w:val="PageNumber"/>
        <w:rFonts w:cs="David"/>
        <w:sz w:val="26"/>
        <w:szCs w:val="26"/>
        <w:rtl/>
      </w:rPr>
      <w:fldChar w:fldCharType="separate"/>
    </w:r>
    <w:r w:rsidR="006630B3">
      <w:rPr>
        <w:rStyle w:val="PageNumber"/>
        <w:rFonts w:cs="David"/>
        <w:noProof/>
        <w:sz w:val="26"/>
        <w:szCs w:val="26"/>
        <w:rtl/>
      </w:rPr>
      <w:t>1</w:t>
    </w:r>
    <w:r w:rsidRPr="00293537">
      <w:rPr>
        <w:rStyle w:val="PageNumber"/>
        <w:rFonts w:cs="David"/>
        <w:sz w:val="26"/>
        <w:szCs w:val="26"/>
        <w:rtl/>
      </w:rPr>
      <w:fldChar w:fldCharType="end"/>
    </w:r>
  </w:p>
  <w:p w:rsidR="0043477B" w:rsidRDefault="0043477B" w:rsidP="0043477B">
    <w:pPr>
      <w:pStyle w:val="Footer"/>
      <w:rPr>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7B" w:rsidRDefault="004347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559" w:rsidRDefault="00F07559">
      <w:pPr>
        <w:ind w:firstLine="0"/>
      </w:pPr>
      <w:r>
        <w:separator/>
      </w:r>
    </w:p>
  </w:footnote>
  <w:footnote w:type="continuationSeparator" w:id="0">
    <w:p w:rsidR="00F07559" w:rsidRDefault="00F07559">
      <w:r>
        <w:continuationSeparator/>
      </w:r>
    </w:p>
  </w:footnote>
  <w:footnote w:type="continuationNotice" w:id="1">
    <w:p w:rsidR="00F07559" w:rsidRDefault="00F07559"/>
  </w:footnote>
  <w:footnote w:id="2">
    <w:p w:rsidR="00E3466E" w:rsidRDefault="00E3466E" w:rsidP="00155D5C">
      <w:pPr>
        <w:pStyle w:val="FootnoteText"/>
        <w:rPr>
          <w:rtl/>
        </w:rPr>
      </w:pPr>
      <w:r>
        <w:rPr>
          <w:rStyle w:val="FootnoteReference"/>
        </w:rPr>
        <w:footnoteRef/>
      </w:r>
      <w:r>
        <w:rPr>
          <w:rtl/>
        </w:rPr>
        <w:t xml:space="preserve"> </w:t>
      </w:r>
      <w:r w:rsidR="00274C6E">
        <w:rPr>
          <w:rFonts w:hint="cs"/>
          <w:rtl/>
        </w:rPr>
        <w:t>ס"ח התשכ"א, עמ' 120, התשע"ג, עמ' 35</w:t>
      </w:r>
    </w:p>
    <w:p w:rsidR="00F6604C" w:rsidRDefault="00F6604C" w:rsidP="00155D5C">
      <w:pPr>
        <w:pStyle w:val="FootnoteText"/>
        <w:rPr>
          <w:rtl/>
        </w:rPr>
      </w:pPr>
      <w:r>
        <w:rPr>
          <w:rFonts w:hint="cs"/>
          <w:rtl/>
        </w:rPr>
        <w:t>2. ס"ח התש"ס עמ' 405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7B" w:rsidRDefault="004347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7B" w:rsidRDefault="004347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77B" w:rsidRDefault="004347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B0BBE"/>
    <w:multiLevelType w:val="hybridMultilevel"/>
    <w:tmpl w:val="301C10F4"/>
    <w:lvl w:ilvl="0" w:tplc="7E7490F2">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762820"/>
    <w:multiLevelType w:val="hybridMultilevel"/>
    <w:tmpl w:val="2D8495C8"/>
    <w:lvl w:ilvl="0" w:tplc="180A7610">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291BA0"/>
    <w:multiLevelType w:val="hybridMultilevel"/>
    <w:tmpl w:val="E49856CE"/>
    <w:lvl w:ilvl="0" w:tplc="E10E83C6">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C39D6"/>
    <w:multiLevelType w:val="hybridMultilevel"/>
    <w:tmpl w:val="295AE19E"/>
    <w:lvl w:ilvl="0" w:tplc="0AB04E00">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E429FB"/>
    <w:multiLevelType w:val="hybridMultilevel"/>
    <w:tmpl w:val="EF868B92"/>
    <w:lvl w:ilvl="0" w:tplc="D3C6F76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3C544D"/>
    <w:multiLevelType w:val="hybridMultilevel"/>
    <w:tmpl w:val="B170A16C"/>
    <w:lvl w:ilvl="0" w:tplc="746489A4">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7FC4F87"/>
    <w:multiLevelType w:val="hybridMultilevel"/>
    <w:tmpl w:val="FC7E142A"/>
    <w:lvl w:ilvl="0" w:tplc="D6D2B84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BDF"/>
    <w:rsid w:val="00001778"/>
    <w:rsid w:val="00011BA0"/>
    <w:rsid w:val="00011C4D"/>
    <w:rsid w:val="0003252C"/>
    <w:rsid w:val="00043CE4"/>
    <w:rsid w:val="0006631A"/>
    <w:rsid w:val="00080B43"/>
    <w:rsid w:val="00084A3D"/>
    <w:rsid w:val="000A0898"/>
    <w:rsid w:val="000D3CAA"/>
    <w:rsid w:val="000E2AF8"/>
    <w:rsid w:val="001312CC"/>
    <w:rsid w:val="00137CF2"/>
    <w:rsid w:val="00142D93"/>
    <w:rsid w:val="0014557C"/>
    <w:rsid w:val="00147CAE"/>
    <w:rsid w:val="00155D5C"/>
    <w:rsid w:val="00157888"/>
    <w:rsid w:val="00161837"/>
    <w:rsid w:val="001629F2"/>
    <w:rsid w:val="00162B97"/>
    <w:rsid w:val="001753B1"/>
    <w:rsid w:val="00194F6C"/>
    <w:rsid w:val="001B1478"/>
    <w:rsid w:val="001B320D"/>
    <w:rsid w:val="001B7CE6"/>
    <w:rsid w:val="001D7024"/>
    <w:rsid w:val="001D70F3"/>
    <w:rsid w:val="001E73F2"/>
    <w:rsid w:val="001E7C1D"/>
    <w:rsid w:val="00200906"/>
    <w:rsid w:val="00210898"/>
    <w:rsid w:val="00213966"/>
    <w:rsid w:val="002345C9"/>
    <w:rsid w:val="002415C4"/>
    <w:rsid w:val="00256C6A"/>
    <w:rsid w:val="002723C6"/>
    <w:rsid w:val="00274C6E"/>
    <w:rsid w:val="00293537"/>
    <w:rsid w:val="002A1E57"/>
    <w:rsid w:val="002A2838"/>
    <w:rsid w:val="002C18C4"/>
    <w:rsid w:val="002D1C18"/>
    <w:rsid w:val="002D445F"/>
    <w:rsid w:val="002D4DF4"/>
    <w:rsid w:val="002E072A"/>
    <w:rsid w:val="002E25E5"/>
    <w:rsid w:val="002E32F0"/>
    <w:rsid w:val="002E3E61"/>
    <w:rsid w:val="002F6A6A"/>
    <w:rsid w:val="00300B11"/>
    <w:rsid w:val="00313568"/>
    <w:rsid w:val="0031416A"/>
    <w:rsid w:val="00322336"/>
    <w:rsid w:val="00334626"/>
    <w:rsid w:val="00346EBA"/>
    <w:rsid w:val="00352C2C"/>
    <w:rsid w:val="00362E7C"/>
    <w:rsid w:val="00372B59"/>
    <w:rsid w:val="00373BD5"/>
    <w:rsid w:val="00374C5B"/>
    <w:rsid w:val="00383B53"/>
    <w:rsid w:val="0039143F"/>
    <w:rsid w:val="00395D16"/>
    <w:rsid w:val="003A663D"/>
    <w:rsid w:val="003B784A"/>
    <w:rsid w:val="003C6666"/>
    <w:rsid w:val="003C6FAF"/>
    <w:rsid w:val="003D2471"/>
    <w:rsid w:val="003D49CD"/>
    <w:rsid w:val="004009AC"/>
    <w:rsid w:val="00405752"/>
    <w:rsid w:val="004220CD"/>
    <w:rsid w:val="004274C2"/>
    <w:rsid w:val="004278FF"/>
    <w:rsid w:val="00430799"/>
    <w:rsid w:val="0043477B"/>
    <w:rsid w:val="004478AF"/>
    <w:rsid w:val="00473196"/>
    <w:rsid w:val="00474A1A"/>
    <w:rsid w:val="00486A5E"/>
    <w:rsid w:val="0049107E"/>
    <w:rsid w:val="004A1B64"/>
    <w:rsid w:val="004A7E1E"/>
    <w:rsid w:val="004C5D36"/>
    <w:rsid w:val="004C66B4"/>
    <w:rsid w:val="004C6AE5"/>
    <w:rsid w:val="0050052F"/>
    <w:rsid w:val="00501A87"/>
    <w:rsid w:val="00504784"/>
    <w:rsid w:val="005123B1"/>
    <w:rsid w:val="00523C92"/>
    <w:rsid w:val="005275E5"/>
    <w:rsid w:val="00541872"/>
    <w:rsid w:val="005625F4"/>
    <w:rsid w:val="00567FB2"/>
    <w:rsid w:val="00572C04"/>
    <w:rsid w:val="005771C4"/>
    <w:rsid w:val="00580A68"/>
    <w:rsid w:val="005C1E7B"/>
    <w:rsid w:val="005C7BC5"/>
    <w:rsid w:val="005D51AE"/>
    <w:rsid w:val="005E2B24"/>
    <w:rsid w:val="005F181C"/>
    <w:rsid w:val="005F63FC"/>
    <w:rsid w:val="00600873"/>
    <w:rsid w:val="0060621A"/>
    <w:rsid w:val="0060685C"/>
    <w:rsid w:val="00607770"/>
    <w:rsid w:val="00607881"/>
    <w:rsid w:val="00622152"/>
    <w:rsid w:val="00626E1B"/>
    <w:rsid w:val="00643333"/>
    <w:rsid w:val="00644940"/>
    <w:rsid w:val="0065338F"/>
    <w:rsid w:val="00660C42"/>
    <w:rsid w:val="00662D9D"/>
    <w:rsid w:val="006630B3"/>
    <w:rsid w:val="006638F0"/>
    <w:rsid w:val="00674761"/>
    <w:rsid w:val="0067504C"/>
    <w:rsid w:val="006A3DB5"/>
    <w:rsid w:val="006A73E4"/>
    <w:rsid w:val="006B40B5"/>
    <w:rsid w:val="006B69D6"/>
    <w:rsid w:val="006B6F30"/>
    <w:rsid w:val="006C5C0E"/>
    <w:rsid w:val="006C6B37"/>
    <w:rsid w:val="006C74B3"/>
    <w:rsid w:val="006D0310"/>
    <w:rsid w:val="006D2D06"/>
    <w:rsid w:val="006E2E9E"/>
    <w:rsid w:val="006E3FFD"/>
    <w:rsid w:val="007053C1"/>
    <w:rsid w:val="007058F2"/>
    <w:rsid w:val="00714603"/>
    <w:rsid w:val="00716701"/>
    <w:rsid w:val="00725D36"/>
    <w:rsid w:val="007408DF"/>
    <w:rsid w:val="007651DC"/>
    <w:rsid w:val="00766065"/>
    <w:rsid w:val="0077246A"/>
    <w:rsid w:val="00781C4C"/>
    <w:rsid w:val="0078279D"/>
    <w:rsid w:val="007838E1"/>
    <w:rsid w:val="00786188"/>
    <w:rsid w:val="007906D4"/>
    <w:rsid w:val="0079296C"/>
    <w:rsid w:val="007A2FB8"/>
    <w:rsid w:val="007A5EA1"/>
    <w:rsid w:val="007A7870"/>
    <w:rsid w:val="007A7C55"/>
    <w:rsid w:val="007B1C96"/>
    <w:rsid w:val="007B58F1"/>
    <w:rsid w:val="007C0140"/>
    <w:rsid w:val="007C4DC2"/>
    <w:rsid w:val="007D3454"/>
    <w:rsid w:val="007F048B"/>
    <w:rsid w:val="007F0670"/>
    <w:rsid w:val="007F0C40"/>
    <w:rsid w:val="008042F1"/>
    <w:rsid w:val="008060B0"/>
    <w:rsid w:val="00807C7E"/>
    <w:rsid w:val="00812C98"/>
    <w:rsid w:val="00816CB3"/>
    <w:rsid w:val="00830F64"/>
    <w:rsid w:val="00837963"/>
    <w:rsid w:val="00850601"/>
    <w:rsid w:val="008674BA"/>
    <w:rsid w:val="008813AD"/>
    <w:rsid w:val="008815D0"/>
    <w:rsid w:val="00892A7D"/>
    <w:rsid w:val="00895B21"/>
    <w:rsid w:val="008B2B37"/>
    <w:rsid w:val="008D4643"/>
    <w:rsid w:val="008E6020"/>
    <w:rsid w:val="008F127C"/>
    <w:rsid w:val="008F21A4"/>
    <w:rsid w:val="008F3471"/>
    <w:rsid w:val="008F730C"/>
    <w:rsid w:val="00902BAE"/>
    <w:rsid w:val="0090718C"/>
    <w:rsid w:val="00923474"/>
    <w:rsid w:val="0093030A"/>
    <w:rsid w:val="00940162"/>
    <w:rsid w:val="00966955"/>
    <w:rsid w:val="00974123"/>
    <w:rsid w:val="00975E3B"/>
    <w:rsid w:val="009776F5"/>
    <w:rsid w:val="00994430"/>
    <w:rsid w:val="009963F6"/>
    <w:rsid w:val="009D4524"/>
    <w:rsid w:val="009D6D82"/>
    <w:rsid w:val="009F044C"/>
    <w:rsid w:val="009F0E9D"/>
    <w:rsid w:val="009F1C3B"/>
    <w:rsid w:val="009F32FE"/>
    <w:rsid w:val="00A161D9"/>
    <w:rsid w:val="00A30877"/>
    <w:rsid w:val="00A3374B"/>
    <w:rsid w:val="00A5206E"/>
    <w:rsid w:val="00A632CE"/>
    <w:rsid w:val="00A8154C"/>
    <w:rsid w:val="00A81D7C"/>
    <w:rsid w:val="00A90B31"/>
    <w:rsid w:val="00AA1CC0"/>
    <w:rsid w:val="00AB1FD3"/>
    <w:rsid w:val="00AB7CF4"/>
    <w:rsid w:val="00AD444B"/>
    <w:rsid w:val="00AE40B0"/>
    <w:rsid w:val="00AE73F9"/>
    <w:rsid w:val="00AF6C74"/>
    <w:rsid w:val="00B2218C"/>
    <w:rsid w:val="00B240D1"/>
    <w:rsid w:val="00B24577"/>
    <w:rsid w:val="00B350EA"/>
    <w:rsid w:val="00B35E78"/>
    <w:rsid w:val="00B473BA"/>
    <w:rsid w:val="00B50517"/>
    <w:rsid w:val="00B506F6"/>
    <w:rsid w:val="00B7157A"/>
    <w:rsid w:val="00B859E4"/>
    <w:rsid w:val="00B969EC"/>
    <w:rsid w:val="00BB1D40"/>
    <w:rsid w:val="00BB51EB"/>
    <w:rsid w:val="00BC0F9F"/>
    <w:rsid w:val="00BE5292"/>
    <w:rsid w:val="00C062F1"/>
    <w:rsid w:val="00C13CAE"/>
    <w:rsid w:val="00C24B1B"/>
    <w:rsid w:val="00C5295C"/>
    <w:rsid w:val="00C538A5"/>
    <w:rsid w:val="00C645D5"/>
    <w:rsid w:val="00C66A55"/>
    <w:rsid w:val="00C75F52"/>
    <w:rsid w:val="00CB4C0A"/>
    <w:rsid w:val="00CC2FCD"/>
    <w:rsid w:val="00CC35D0"/>
    <w:rsid w:val="00CC6BEB"/>
    <w:rsid w:val="00CD0662"/>
    <w:rsid w:val="00CE2900"/>
    <w:rsid w:val="00CF5BDF"/>
    <w:rsid w:val="00CF7619"/>
    <w:rsid w:val="00D04853"/>
    <w:rsid w:val="00D05CC3"/>
    <w:rsid w:val="00D2043B"/>
    <w:rsid w:val="00D35FF0"/>
    <w:rsid w:val="00D509CA"/>
    <w:rsid w:val="00D52873"/>
    <w:rsid w:val="00D6472E"/>
    <w:rsid w:val="00D659BF"/>
    <w:rsid w:val="00D70C27"/>
    <w:rsid w:val="00D7763B"/>
    <w:rsid w:val="00DA6FB0"/>
    <w:rsid w:val="00DB018F"/>
    <w:rsid w:val="00DD4B0A"/>
    <w:rsid w:val="00DE2CFD"/>
    <w:rsid w:val="00DE7427"/>
    <w:rsid w:val="00DF3A60"/>
    <w:rsid w:val="00DF6AF7"/>
    <w:rsid w:val="00E11517"/>
    <w:rsid w:val="00E12FD8"/>
    <w:rsid w:val="00E1690D"/>
    <w:rsid w:val="00E23AE2"/>
    <w:rsid w:val="00E315C3"/>
    <w:rsid w:val="00E3466E"/>
    <w:rsid w:val="00E3570A"/>
    <w:rsid w:val="00E40AC0"/>
    <w:rsid w:val="00E5129A"/>
    <w:rsid w:val="00E659C5"/>
    <w:rsid w:val="00E7024C"/>
    <w:rsid w:val="00E876E5"/>
    <w:rsid w:val="00EB765D"/>
    <w:rsid w:val="00ED7345"/>
    <w:rsid w:val="00EE2EF1"/>
    <w:rsid w:val="00EF5DE6"/>
    <w:rsid w:val="00F00DF4"/>
    <w:rsid w:val="00F07559"/>
    <w:rsid w:val="00F10FBB"/>
    <w:rsid w:val="00F121C1"/>
    <w:rsid w:val="00F44905"/>
    <w:rsid w:val="00F4660F"/>
    <w:rsid w:val="00F46EA0"/>
    <w:rsid w:val="00F63DD9"/>
    <w:rsid w:val="00F6604C"/>
    <w:rsid w:val="00F66533"/>
    <w:rsid w:val="00F6741B"/>
    <w:rsid w:val="00F71CC1"/>
    <w:rsid w:val="00F8027C"/>
    <w:rsid w:val="00F8186C"/>
    <w:rsid w:val="00F87CE4"/>
    <w:rsid w:val="00F9596F"/>
    <w:rsid w:val="00FA1CBB"/>
    <w:rsid w:val="00FB5BD8"/>
    <w:rsid w:val="00FB6137"/>
    <w:rsid w:val="00FB76CD"/>
    <w:rsid w:val="00FC0222"/>
    <w:rsid w:val="00FC181D"/>
    <w:rsid w:val="00FC318A"/>
    <w:rsid w:val="00FC39EC"/>
    <w:rsid w:val="00FD760F"/>
    <w:rsid w:val="00FE0B4B"/>
    <w:rsid w:val="00FE518E"/>
    <w:rsid w:val="00FF0CE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bidi/>
      <w:adjustRightInd w:val="0"/>
      <w:spacing w:before="102" w:line="204" w:lineRule="atLeast"/>
      <w:ind w:firstLine="340"/>
      <w:jc w:val="both"/>
      <w:textAlignment w:val="center"/>
    </w:pPr>
    <w:rPr>
      <w:rFonts w:ascii="Hadasa Roso SL" w:hAnsi="Hadasa Roso SL" w:cs="Hadasa Roso SL"/>
      <w:color w:val="000000"/>
      <w:spacing w:val="1"/>
      <w:sz w:val="17"/>
      <w:szCs w:val="17"/>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bidi/>
      <w:adjustRightInd w:val="0"/>
      <w:snapToGrid w:val="0"/>
      <w:spacing w:line="360" w:lineRule="auto"/>
      <w:textAlignment w:val="center"/>
    </w:pPr>
    <w:rPr>
      <w:rFonts w:ascii="Arial" w:eastAsia="Arial Unicode MS" w:hAnsi="Arial" w:cs="David"/>
      <w:snapToGrid w:val="0"/>
      <w:color w:val="000000"/>
      <w:szCs w:val="26"/>
      <w:lang w:eastAsia="ja-JP"/>
    </w:rPr>
  </w:style>
  <w:style w:type="paragraph" w:customStyle="1" w:styleId="Cover1-Reshumot">
    <w:name w:val="Cover 1-Reshumot"/>
    <w:basedOn w:val="Noparagraphstyle"/>
    <w:pPr>
      <w:tabs>
        <w:tab w:val="left" w:pos="1191"/>
        <w:tab w:val="left" w:pos="1587"/>
      </w:tabs>
      <w:spacing w:before="240" w:after="240" w:line="480" w:lineRule="auto"/>
      <w:jc w:val="center"/>
    </w:pPr>
  </w:style>
  <w:style w:type="paragraph" w:customStyle="1" w:styleId="Cover2-HatzaotHok">
    <w:name w:val="Cover 2-HatzaotHok"/>
    <w:basedOn w:val="Cover1-Reshumot"/>
    <w:rPr>
      <w:sz w:val="36"/>
      <w:szCs w:val="52"/>
    </w:rPr>
  </w:style>
  <w:style w:type="paragraph" w:customStyle="1" w:styleId="Cover3-Haknesset">
    <w:name w:val="Cover 3-Haknesset"/>
    <w:basedOn w:val="Cover1-Reshumot"/>
    <w:rPr>
      <w:b/>
      <w:bCs/>
      <w:spacing w:val="60"/>
    </w:rPr>
  </w:style>
  <w:style w:type="paragraph" w:customStyle="1" w:styleId="Cover4-Date">
    <w:name w:val="Cover 4-Date"/>
    <w:basedOn w:val="Noparagraphstyle"/>
    <w:pPr>
      <w:pBdr>
        <w:bottom w:val="single" w:sz="4" w:space="0" w:color="auto"/>
      </w:pBdr>
      <w:tabs>
        <w:tab w:val="center" w:pos="4820"/>
        <w:tab w:val="right" w:pos="9639"/>
      </w:tabs>
      <w:spacing w:before="240" w:after="240"/>
    </w:pPr>
  </w:style>
  <w:style w:type="paragraph" w:customStyle="1" w:styleId="TOC">
    <w:name w:val="TOC"/>
    <w:basedOn w:val="Noparagraphstyle"/>
    <w:pPr>
      <w:tabs>
        <w:tab w:val="left" w:leader="dot" w:pos="8789"/>
      </w:tabs>
      <w:spacing w:before="120"/>
      <w:ind w:left="284" w:right="284"/>
    </w:pPr>
  </w:style>
  <w:style w:type="paragraph" w:customStyle="1" w:styleId="TOCpg">
    <w:name w:val="TOC pg"/>
    <w:basedOn w:val="TOC"/>
    <w:pPr>
      <w:spacing w:after="120"/>
      <w:ind w:right="567"/>
      <w:jc w:val="right"/>
    </w:pPr>
  </w:style>
  <w:style w:type="paragraph" w:customStyle="1" w:styleId="HeadMitparsemetBaze">
    <w:name w:val="Head MitparsemetBaze"/>
    <w:basedOn w:val="Noparagraphstyle"/>
    <w:pPr>
      <w:keepNext/>
      <w:keepLines/>
      <w:pageBreakBefore/>
      <w:spacing w:before="480"/>
      <w:jc w:val="both"/>
    </w:pPr>
    <w:rPr>
      <w:b/>
      <w:bCs/>
    </w:rPr>
  </w:style>
  <w:style w:type="paragraph" w:customStyle="1" w:styleId="HeadHatzaotHok">
    <w:name w:val="Head HatzaotHok"/>
    <w:basedOn w:val="Noparagraphstyle"/>
    <w:pPr>
      <w:keepNext/>
      <w:keepLines/>
      <w:spacing w:before="240"/>
      <w:jc w:val="center"/>
    </w:pPr>
    <w:rPr>
      <w:b/>
      <w:bCs/>
    </w:rPr>
  </w:style>
  <w:style w:type="paragraph" w:customStyle="1" w:styleId="HeadHatzaotHok4Futer">
    <w:name w:val="Head HatzaotHok4Futer"/>
    <w:basedOn w:val="HeadHatzaotHok"/>
    <w:pPr>
      <w:spacing w:before="120" w:after="120"/>
    </w:pPr>
    <w:rPr>
      <w:color w:val="FF0000"/>
      <w:w w:val="80"/>
    </w:rPr>
  </w:style>
  <w:style w:type="paragraph" w:styleId="EndnoteText">
    <w:name w:val="endnote text"/>
    <w:basedOn w:val="Ragil"/>
    <w:semiHidden/>
    <w:pPr>
      <w:ind w:left="227" w:hanging="227"/>
    </w:pPr>
    <w:rPr>
      <w:sz w:val="14"/>
      <w:szCs w:val="22"/>
    </w:rPr>
  </w:style>
  <w:style w:type="paragraph" w:customStyle="1" w:styleId="TableText">
    <w:name w:val="Table Text"/>
    <w:basedOn w:val="Ragil"/>
    <w:pPr>
      <w:keepLines/>
      <w:tabs>
        <w:tab w:val="left" w:pos="624"/>
        <w:tab w:val="left" w:pos="1247"/>
      </w:tabs>
      <w:ind w:right="57" w:firstLine="0"/>
    </w:pPr>
  </w:style>
  <w:style w:type="paragraph" w:customStyle="1" w:styleId="TableSideHeading">
    <w:name w:val="Table SideHeading"/>
    <w:basedOn w:val="TableText"/>
  </w:style>
  <w:style w:type="paragraph" w:customStyle="1" w:styleId="TableBlock">
    <w:name w:val="Table Block"/>
    <w:basedOn w:val="TableText"/>
    <w:pPr>
      <w:ind w:right="0"/>
      <w:jc w:val="both"/>
    </w:pPr>
  </w:style>
  <w:style w:type="paragraph" w:customStyle="1" w:styleId="TableHead">
    <w:name w:val="Table Head"/>
    <w:basedOn w:val="TableText"/>
    <w:pPr>
      <w:ind w:right="0"/>
      <w:jc w:val="center"/>
    </w:pPr>
    <w:rPr>
      <w:b/>
      <w:bCs/>
    </w:rPr>
  </w:style>
  <w:style w:type="paragraph" w:customStyle="1" w:styleId="TableText2">
    <w:name w:val="Table Text2"/>
    <w:basedOn w:val="TableText"/>
  </w:style>
  <w:style w:type="paragraph" w:customStyle="1" w:styleId="TableInnerSideHeading">
    <w:name w:val="Table InnerSideHeading"/>
    <w:basedOn w:val="TableSideHeading"/>
  </w:style>
  <w:style w:type="paragraph" w:customStyle="1" w:styleId="Hesber">
    <w:name w:val="Hesber"/>
    <w:basedOn w:val="Ragil"/>
    <w:pPr>
      <w:jc w:val="both"/>
    </w:pPr>
  </w:style>
  <w:style w:type="paragraph" w:styleId="FootnoteText">
    <w:name w:val="footnote text"/>
    <w:basedOn w:val="Ragil"/>
    <w:autoRedefine/>
    <w:semiHidden/>
    <w:rsid w:val="007D3454"/>
    <w:pPr>
      <w:spacing w:line="240" w:lineRule="auto"/>
      <w:ind w:left="360" w:firstLine="0"/>
    </w:pPr>
    <w:rPr>
      <w:sz w:val="14"/>
      <w:szCs w:val="20"/>
    </w:rPr>
  </w:style>
  <w:style w:type="character" w:styleId="FootnoteReference">
    <w:name w:val="footnote reference"/>
    <w:basedOn w:val="DefaultParagraphFont"/>
    <w:semiHidden/>
    <w:rPr>
      <w:vertAlign w:val="superscript"/>
    </w:rPr>
  </w:style>
  <w:style w:type="paragraph" w:customStyle="1" w:styleId="HesberHeading">
    <w:name w:val="Hesber Heading"/>
    <w:basedOn w:val="Hesber"/>
    <w:pPr>
      <w:keepNext/>
      <w:keepLines/>
      <w:spacing w:before="240"/>
      <w:ind w:firstLine="0"/>
    </w:pPr>
    <w:rPr>
      <w:b/>
      <w:bCs/>
    </w:rPr>
  </w:style>
  <w:style w:type="paragraph" w:customStyle="1" w:styleId="HesberWriters">
    <w:name w:val="Hesber Writers"/>
    <w:basedOn w:val="Hesber"/>
    <w:pPr>
      <w:spacing w:before="120" w:after="6000"/>
      <w:ind w:left="1418" w:firstLine="0"/>
      <w:jc w:val="right"/>
    </w:pPr>
    <w:rPr>
      <w:b/>
      <w:bCs/>
    </w:rPr>
  </w:style>
  <w:style w:type="paragraph" w:customStyle="1" w:styleId="Hesber1st">
    <w:name w:val="Hesber 1st"/>
    <w:basedOn w:val="Hesber"/>
    <w:pPr>
      <w:tabs>
        <w:tab w:val="left" w:pos="680"/>
        <w:tab w:val="left" w:pos="1020"/>
      </w:tabs>
      <w:ind w:firstLine="0"/>
    </w:pPr>
  </w:style>
  <w:style w:type="character" w:styleId="EndnoteReference">
    <w:name w:val="endnote reference"/>
    <w:basedOn w:val="DefaultParagraphFont"/>
    <w:semiHidden/>
    <w:rPr>
      <w:vertAlign w:val="superscript"/>
    </w:rPr>
  </w:style>
  <w:style w:type="paragraph" w:customStyle="1" w:styleId="TableBlockOutdent">
    <w:name w:val="Table BlockOutdent"/>
    <w:basedOn w:val="TableBlock"/>
    <w:rsid w:val="0003252C"/>
    <w:pPr>
      <w:ind w:left="624" w:hanging="624"/>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HeadDivreiHesber">
    <w:name w:val="Head DivreiHesber"/>
    <w:basedOn w:val="Ragil"/>
    <w:pPr>
      <w:spacing w:before="360" w:after="120"/>
      <w:ind w:firstLine="0"/>
      <w:jc w:val="center"/>
    </w:pPr>
    <w:rPr>
      <w:b/>
      <w:spacing w:val="40"/>
    </w:rPr>
  </w:style>
  <w:style w:type="paragraph" w:customStyle="1" w:styleId="Ragil">
    <w:name w:val="Ragil"/>
    <w:basedOn w:val="Noparagraphstyle"/>
    <w:pPr>
      <w:ind w:firstLine="340"/>
    </w:pPr>
  </w:style>
  <w:style w:type="character" w:styleId="PageNumber">
    <w:name w:val="page number"/>
    <w:basedOn w:val="DefaultParagraphFont"/>
    <w:rsid w:val="00CF5B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bidi/>
      <w:adjustRightInd w:val="0"/>
      <w:spacing w:before="102" w:line="204" w:lineRule="atLeast"/>
      <w:ind w:firstLine="340"/>
      <w:jc w:val="both"/>
      <w:textAlignment w:val="center"/>
    </w:pPr>
    <w:rPr>
      <w:rFonts w:ascii="Hadasa Roso SL" w:hAnsi="Hadasa Roso SL" w:cs="Hadasa Roso SL"/>
      <w:color w:val="000000"/>
      <w:spacing w:val="1"/>
      <w:sz w:val="17"/>
      <w:szCs w:val="17"/>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bidi/>
      <w:adjustRightInd w:val="0"/>
      <w:snapToGrid w:val="0"/>
      <w:spacing w:line="360" w:lineRule="auto"/>
      <w:textAlignment w:val="center"/>
    </w:pPr>
    <w:rPr>
      <w:rFonts w:ascii="Arial" w:eastAsia="Arial Unicode MS" w:hAnsi="Arial" w:cs="David"/>
      <w:snapToGrid w:val="0"/>
      <w:color w:val="000000"/>
      <w:szCs w:val="26"/>
      <w:lang w:eastAsia="ja-JP"/>
    </w:rPr>
  </w:style>
  <w:style w:type="paragraph" w:customStyle="1" w:styleId="Cover1-Reshumot">
    <w:name w:val="Cover 1-Reshumot"/>
    <w:basedOn w:val="Noparagraphstyle"/>
    <w:pPr>
      <w:tabs>
        <w:tab w:val="left" w:pos="1191"/>
        <w:tab w:val="left" w:pos="1587"/>
      </w:tabs>
      <w:spacing w:before="240" w:after="240" w:line="480" w:lineRule="auto"/>
      <w:jc w:val="center"/>
    </w:pPr>
  </w:style>
  <w:style w:type="paragraph" w:customStyle="1" w:styleId="Cover2-HatzaotHok">
    <w:name w:val="Cover 2-HatzaotHok"/>
    <w:basedOn w:val="Cover1-Reshumot"/>
    <w:rPr>
      <w:sz w:val="36"/>
      <w:szCs w:val="52"/>
    </w:rPr>
  </w:style>
  <w:style w:type="paragraph" w:customStyle="1" w:styleId="Cover3-Haknesset">
    <w:name w:val="Cover 3-Haknesset"/>
    <w:basedOn w:val="Cover1-Reshumot"/>
    <w:rPr>
      <w:b/>
      <w:bCs/>
      <w:spacing w:val="60"/>
    </w:rPr>
  </w:style>
  <w:style w:type="paragraph" w:customStyle="1" w:styleId="Cover4-Date">
    <w:name w:val="Cover 4-Date"/>
    <w:basedOn w:val="Noparagraphstyle"/>
    <w:pPr>
      <w:pBdr>
        <w:bottom w:val="single" w:sz="4" w:space="0" w:color="auto"/>
      </w:pBdr>
      <w:tabs>
        <w:tab w:val="center" w:pos="4820"/>
        <w:tab w:val="right" w:pos="9639"/>
      </w:tabs>
      <w:spacing w:before="240" w:after="240"/>
    </w:pPr>
  </w:style>
  <w:style w:type="paragraph" w:customStyle="1" w:styleId="TOC">
    <w:name w:val="TOC"/>
    <w:basedOn w:val="Noparagraphstyle"/>
    <w:pPr>
      <w:tabs>
        <w:tab w:val="left" w:leader="dot" w:pos="8789"/>
      </w:tabs>
      <w:spacing w:before="120"/>
      <w:ind w:left="284" w:right="284"/>
    </w:pPr>
  </w:style>
  <w:style w:type="paragraph" w:customStyle="1" w:styleId="TOCpg">
    <w:name w:val="TOC pg"/>
    <w:basedOn w:val="TOC"/>
    <w:pPr>
      <w:spacing w:after="120"/>
      <w:ind w:right="567"/>
      <w:jc w:val="right"/>
    </w:pPr>
  </w:style>
  <w:style w:type="paragraph" w:customStyle="1" w:styleId="HeadMitparsemetBaze">
    <w:name w:val="Head MitparsemetBaze"/>
    <w:basedOn w:val="Noparagraphstyle"/>
    <w:pPr>
      <w:keepNext/>
      <w:keepLines/>
      <w:pageBreakBefore/>
      <w:spacing w:before="480"/>
      <w:jc w:val="both"/>
    </w:pPr>
    <w:rPr>
      <w:b/>
      <w:bCs/>
    </w:rPr>
  </w:style>
  <w:style w:type="paragraph" w:customStyle="1" w:styleId="HeadHatzaotHok">
    <w:name w:val="Head HatzaotHok"/>
    <w:basedOn w:val="Noparagraphstyle"/>
    <w:pPr>
      <w:keepNext/>
      <w:keepLines/>
      <w:spacing w:before="240"/>
      <w:jc w:val="center"/>
    </w:pPr>
    <w:rPr>
      <w:b/>
      <w:bCs/>
    </w:rPr>
  </w:style>
  <w:style w:type="paragraph" w:customStyle="1" w:styleId="HeadHatzaotHok4Futer">
    <w:name w:val="Head HatzaotHok4Futer"/>
    <w:basedOn w:val="HeadHatzaotHok"/>
    <w:pPr>
      <w:spacing w:before="120" w:after="120"/>
    </w:pPr>
    <w:rPr>
      <w:color w:val="FF0000"/>
      <w:w w:val="80"/>
    </w:rPr>
  </w:style>
  <w:style w:type="paragraph" w:styleId="EndnoteText">
    <w:name w:val="endnote text"/>
    <w:basedOn w:val="Ragil"/>
    <w:semiHidden/>
    <w:pPr>
      <w:ind w:left="227" w:hanging="227"/>
    </w:pPr>
    <w:rPr>
      <w:sz w:val="14"/>
      <w:szCs w:val="22"/>
    </w:rPr>
  </w:style>
  <w:style w:type="paragraph" w:customStyle="1" w:styleId="TableText">
    <w:name w:val="Table Text"/>
    <w:basedOn w:val="Ragil"/>
    <w:pPr>
      <w:keepLines/>
      <w:tabs>
        <w:tab w:val="left" w:pos="624"/>
        <w:tab w:val="left" w:pos="1247"/>
      </w:tabs>
      <w:ind w:right="57" w:firstLine="0"/>
    </w:pPr>
  </w:style>
  <w:style w:type="paragraph" w:customStyle="1" w:styleId="TableSideHeading">
    <w:name w:val="Table SideHeading"/>
    <w:basedOn w:val="TableText"/>
  </w:style>
  <w:style w:type="paragraph" w:customStyle="1" w:styleId="TableBlock">
    <w:name w:val="Table Block"/>
    <w:basedOn w:val="TableText"/>
    <w:pPr>
      <w:ind w:right="0"/>
      <w:jc w:val="both"/>
    </w:pPr>
  </w:style>
  <w:style w:type="paragraph" w:customStyle="1" w:styleId="TableHead">
    <w:name w:val="Table Head"/>
    <w:basedOn w:val="TableText"/>
    <w:pPr>
      <w:ind w:right="0"/>
      <w:jc w:val="center"/>
    </w:pPr>
    <w:rPr>
      <w:b/>
      <w:bCs/>
    </w:rPr>
  </w:style>
  <w:style w:type="paragraph" w:customStyle="1" w:styleId="TableText2">
    <w:name w:val="Table Text2"/>
    <w:basedOn w:val="TableText"/>
  </w:style>
  <w:style w:type="paragraph" w:customStyle="1" w:styleId="TableInnerSideHeading">
    <w:name w:val="Table InnerSideHeading"/>
    <w:basedOn w:val="TableSideHeading"/>
  </w:style>
  <w:style w:type="paragraph" w:customStyle="1" w:styleId="Hesber">
    <w:name w:val="Hesber"/>
    <w:basedOn w:val="Ragil"/>
    <w:pPr>
      <w:jc w:val="both"/>
    </w:pPr>
  </w:style>
  <w:style w:type="paragraph" w:styleId="FootnoteText">
    <w:name w:val="footnote text"/>
    <w:basedOn w:val="Ragil"/>
    <w:autoRedefine/>
    <w:semiHidden/>
    <w:rsid w:val="007D3454"/>
    <w:pPr>
      <w:spacing w:line="240" w:lineRule="auto"/>
      <w:ind w:left="360" w:firstLine="0"/>
    </w:pPr>
    <w:rPr>
      <w:sz w:val="14"/>
      <w:szCs w:val="20"/>
    </w:rPr>
  </w:style>
  <w:style w:type="character" w:styleId="FootnoteReference">
    <w:name w:val="footnote reference"/>
    <w:basedOn w:val="DefaultParagraphFont"/>
    <w:semiHidden/>
    <w:rPr>
      <w:vertAlign w:val="superscript"/>
    </w:rPr>
  </w:style>
  <w:style w:type="paragraph" w:customStyle="1" w:styleId="HesberHeading">
    <w:name w:val="Hesber Heading"/>
    <w:basedOn w:val="Hesber"/>
    <w:pPr>
      <w:keepNext/>
      <w:keepLines/>
      <w:spacing w:before="240"/>
      <w:ind w:firstLine="0"/>
    </w:pPr>
    <w:rPr>
      <w:b/>
      <w:bCs/>
    </w:rPr>
  </w:style>
  <w:style w:type="paragraph" w:customStyle="1" w:styleId="HesberWriters">
    <w:name w:val="Hesber Writers"/>
    <w:basedOn w:val="Hesber"/>
    <w:pPr>
      <w:spacing w:before="120" w:after="6000"/>
      <w:ind w:left="1418" w:firstLine="0"/>
      <w:jc w:val="right"/>
    </w:pPr>
    <w:rPr>
      <w:b/>
      <w:bCs/>
    </w:rPr>
  </w:style>
  <w:style w:type="paragraph" w:customStyle="1" w:styleId="Hesber1st">
    <w:name w:val="Hesber 1st"/>
    <w:basedOn w:val="Hesber"/>
    <w:pPr>
      <w:tabs>
        <w:tab w:val="left" w:pos="680"/>
        <w:tab w:val="left" w:pos="1020"/>
      </w:tabs>
      <w:ind w:firstLine="0"/>
    </w:pPr>
  </w:style>
  <w:style w:type="character" w:styleId="EndnoteReference">
    <w:name w:val="endnote reference"/>
    <w:basedOn w:val="DefaultParagraphFont"/>
    <w:semiHidden/>
    <w:rPr>
      <w:vertAlign w:val="superscript"/>
    </w:rPr>
  </w:style>
  <w:style w:type="paragraph" w:customStyle="1" w:styleId="TableBlockOutdent">
    <w:name w:val="Table BlockOutdent"/>
    <w:basedOn w:val="TableBlock"/>
    <w:rsid w:val="0003252C"/>
    <w:pPr>
      <w:ind w:left="624" w:hanging="624"/>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HeadDivreiHesber">
    <w:name w:val="Head DivreiHesber"/>
    <w:basedOn w:val="Ragil"/>
    <w:pPr>
      <w:spacing w:before="360" w:after="120"/>
      <w:ind w:firstLine="0"/>
      <w:jc w:val="center"/>
    </w:pPr>
    <w:rPr>
      <w:b/>
      <w:spacing w:val="40"/>
    </w:rPr>
  </w:style>
  <w:style w:type="paragraph" w:customStyle="1" w:styleId="Ragil">
    <w:name w:val="Ragil"/>
    <w:basedOn w:val="Noparagraphstyle"/>
    <w:pPr>
      <w:ind w:firstLine="340"/>
    </w:pPr>
  </w:style>
  <w:style w:type="character" w:styleId="PageNumber">
    <w:name w:val="page number"/>
    <w:basedOn w:val="DefaultParagraphFont"/>
    <w:rsid w:val="00CF5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מסמך" ma:contentTypeID="0x010100161B5BAE19C0A94ABF7F052772C71F14" ma:contentTypeVersion="1" ma:contentTypeDescription="צור מסמך חדש." ma:contentTypeScope="" ma:versionID="4c4e7c02a57e54f45d23c2b2cc14d8d5">
  <xsd:schema xmlns:xsd="http://www.w3.org/2001/XMLSchema" xmlns:p="http://schemas.microsoft.com/office/2006/metadata/properties" xmlns:ns2="d2589617-2f74-4077-aee7-f516ed639388" targetNamespace="http://schemas.microsoft.com/office/2006/metadata/properties" ma:root="true" ma:fieldsID="07cad186b484ecc037a0bd5112bdf38e" ns2:_="">
    <xsd:import namespace="d2589617-2f74-4077-aee7-f516ed639388"/>
    <xsd:element name="properties">
      <xsd:complexType>
        <xsd:sequence>
          <xsd:element name="documentManagement">
            <xsd:complexType>
              <xsd:all>
                <xsd:element ref="ns2:RefNumber" minOccurs="0"/>
              </xsd:all>
            </xsd:complexType>
          </xsd:element>
        </xsd:sequence>
      </xsd:complexType>
    </xsd:element>
  </xsd:schema>
  <xsd:schema xmlns:xsd="http://www.w3.org/2001/XMLSchema" xmlns:dms="http://schemas.microsoft.com/office/2006/documentManagement/types" targetNamespace="d2589617-2f74-4077-aee7-f516ed639388" elementFormDefault="qualified">
    <xsd:import namespace="http://schemas.microsoft.com/office/2006/documentManagement/types"/>
    <xsd:element name="RefNumber" ma:index="8" nillable="true" ma:displayName="RefNumber" ma:description="מס' טופס" ma:internalName="Ref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ma:readOnly="true"/>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RefNumber xmlns="d2589617-2f74-4077-aee7-f516ed639388">41954</RefNumb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E457A-26FF-4990-9CFA-CB36D46DD695}">
  <ds:schemaRefs>
    <ds:schemaRef ds:uri="http://schemas.microsoft.com/sharepoint/v3/contenttype/forms"/>
  </ds:schemaRefs>
</ds:datastoreItem>
</file>

<file path=customXml/itemProps2.xml><?xml version="1.0" encoding="utf-8"?>
<ds:datastoreItem xmlns:ds="http://schemas.openxmlformats.org/officeDocument/2006/customXml" ds:itemID="{BDDD4CF9-2F70-4A02-99B0-9B6915C89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589617-2f74-4077-aee7-f516ed63938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BF43102-03FA-47C1-918A-820BFD68C924}">
  <ds:schemaRefs>
    <ds:schemaRef ds:uri="http://schemas.openxmlformats.org/package/2006/metadata/core-properties"/>
    <ds:schemaRef ds:uri="d2589617-2f74-4077-aee7-f516ed639388"/>
    <ds:schemaRef ds:uri="http://purl.org/dc/term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5CE2B566-34C6-45FA-8B81-2821305C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817</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פטקא.docx</vt:lpstr>
      <vt:lpstr>רשומות</vt:lpstr>
    </vt:vector>
  </TitlesOfParts>
  <Company>MOF</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פטקא.docx</dc:title>
  <dc:creator>xxkeren</dc:creator>
  <cp:lastModifiedBy>Keren David Hartman</cp:lastModifiedBy>
  <cp:revision>2</cp:revision>
  <cp:lastPrinted>2014-04-13T11:36:00Z</cp:lastPrinted>
  <dcterms:created xsi:type="dcterms:W3CDTF">2014-04-20T08:49:00Z</dcterms:created>
  <dcterms:modified xsi:type="dcterms:W3CDTF">2014-04-20T08:49:00Z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0x010100161B5BAE19C0A94ABF7F052772C71F14</vt:lpwstr>
  </property>
</Properties>
</file>